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widowControl/>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pStyle w:val="827"/>
        <w:widowControl/>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27"/>
        <w:widowControl/>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27"/>
        <w:jc w:val="right"/>
        <w:spacing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827"/>
        <w:jc w:val="cente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84"/>
          <w:szCs w:val="84"/>
          <w:highlight w:val="none"/>
          <w14:textFill>
            <w14:solidFill>
              <w14:schemeClr w14:val="tx1"/>
            </w14:solidFill>
          </w14:textFill>
        </w:rPr>
        <w:t xml:space="preserve">招 标 文 件</w:t>
      </w:r>
      <w:r/>
    </w:p>
    <w:p>
      <w:pPr>
        <w:pStyle w:val="827"/>
        <w:jc w:val="center"/>
        <w:spacing w:line="360" w:lineRule="auto"/>
        <w:rPr>
          <w:rFonts w:ascii="Arial" w:hAnsi="Arial" w:cs="Arial"/>
          <w:b/>
          <w:color w:val="000000" w:themeColor="text1"/>
          <w:highlight w:val="none"/>
          <w14:textFill>
            <w14:solidFill>
              <w14:schemeClr w14:val="tx1"/>
            </w14:solidFill>
          </w14:textFill>
        </w:rPr>
      </w:pPr>
      <w:r>
        <w:rPr>
          <w:rFonts w:ascii="Arial" w:hAnsi="Arial" w:cs="Arial"/>
          <w:b/>
          <w:color w:val="000000" w:themeColor="text1"/>
          <w:highlight w:val="none"/>
          <w14:textFill>
            <w14:solidFill>
              <w14:schemeClr w14:val="tx1"/>
            </w14:solidFill>
          </w14:textFill>
        </w:rPr>
      </w:r>
      <w:r/>
    </w:p>
    <w:p>
      <w:pPr>
        <w:pStyle w:val="827"/>
        <w:jc w:val="center"/>
        <w:spacing w:line="360" w:lineRule="auto"/>
        <w:rPr>
          <w:rFonts w:ascii="Arial" w:hAnsi="Arial" w:cs="Arial"/>
          <w:b/>
          <w:color w:val="000000" w:themeColor="text1"/>
          <w:highlight w:val="none"/>
          <w14:textFill>
            <w14:solidFill>
              <w14:schemeClr w14:val="tx1"/>
            </w14:solidFill>
          </w14:textFill>
        </w:rPr>
      </w:pPr>
      <w:r>
        <w:rPr>
          <w:rFonts w:ascii="Arial" w:hAnsi="Arial" w:cs="Arial"/>
          <w:b/>
          <w:color w:val="000000" w:themeColor="text1"/>
          <w:highlight w:val="none"/>
          <w14:textFill>
            <w14:solidFill>
              <w14:schemeClr w14:val="tx1"/>
            </w14:solidFill>
          </w14:textFill>
        </w:rPr>
      </w:r>
      <w:r/>
    </w:p>
    <w:p>
      <w:pPr>
        <w:pStyle w:val="827"/>
        <w:jc w:val="cente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27"/>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项目编号：</w:t>
      </w:r>
      <w:r>
        <w:rPr>
          <w:rFonts w:hint="eastAsia" w:asciiTheme="minorEastAsia" w:hAnsiTheme="minorEastAsia" w:eastAsiaTheme="minorEastAsia" w:cstheme="minorEastAsia"/>
          <w:b/>
          <w:color w:val="000000" w:themeColor="text1"/>
          <w:highlight w:val="none"/>
          <w:lang w:eastAsia="zh-CN"/>
          <w14:textFill>
            <w14:solidFill>
              <w14:schemeClr w14:val="tx1"/>
            </w14:solidFill>
          </w14:textFill>
        </w:rPr>
        <w:t xml:space="preserve">JSZC-320900-JZCG-G2025-0078</w:t>
      </w:r>
      <w:r/>
    </w:p>
    <w:p>
      <w:pPr>
        <w:pStyle w:val="827"/>
        <w:jc w:val="center"/>
        <w:spacing w:line="360" w:lineRule="auto"/>
        <w:rPr>
          <w:rFonts w:hint="eastAsia"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r>
      <w:r/>
    </w:p>
    <w:p>
      <w:pPr>
        <w:pStyle w:val="827"/>
        <w:jc w:val="center"/>
        <w:spacing w:line="360" w:lineRule="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outlineLvl w:val="0"/>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项目名称：</w:t>
      </w:r>
      <w:r>
        <w:rPr>
          <w:rFonts w:hint="eastAsia" w:asciiTheme="minorEastAsia" w:hAnsiTheme="minorEastAsia" w:eastAsiaTheme="minorEastAsia" w:cstheme="minorEastAsia"/>
          <w:b/>
          <w:color w:val="000000" w:themeColor="text1"/>
          <w:highlight w:val="none"/>
          <w:lang w:eastAsia="zh-CN"/>
          <w14:textFill>
            <w14:solidFill>
              <w14:schemeClr w14:val="tx1"/>
            </w14:solidFill>
          </w14:textFill>
        </w:rPr>
        <w:t xml:space="preserve">盐城市公安局互联网信息处置平台（二期）项目</w:t>
      </w:r>
      <w:r/>
    </w:p>
    <w:p>
      <w:pPr>
        <w:pStyle w:val="827"/>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7"/>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7"/>
        <w:jc w:val="cente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7"/>
        <w:jc w:val="cente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7"/>
        <w:jc w:val="center"/>
        <w:spacing w:line="400" w:lineRule="exact"/>
        <w:rPr>
          <w:rFonts w:hint="eastAsia" w:ascii="黑体" w:hAnsi="黑体" w:eastAsia="黑体" w:cs="黑体"/>
          <w:bCs/>
          <w:color w:val="000000" w:themeColor="text1"/>
          <w:highlight w:val="none"/>
          <w:lang w:eastAsia="zh-CN"/>
          <w14:textFill>
            <w14:solidFill>
              <w14:schemeClr w14:val="tx1"/>
            </w14:solidFill>
          </w14:textFill>
        </w:rPr>
        <w:outlineLvl w:val="0"/>
      </w:pPr>
      <w:r>
        <w:rPr>
          <w:rFonts w:hint="eastAsia" w:ascii="黑体" w:hAnsi="黑体" w:eastAsia="黑体" w:cs="黑体"/>
          <w:bCs/>
          <w:color w:val="000000" w:themeColor="text1"/>
          <w:highlight w:val="none"/>
          <w:lang w:eastAsia="zh-CN"/>
          <w14:textFill>
            <w14:solidFill>
              <w14:schemeClr w14:val="tx1"/>
            </w14:solidFill>
          </w14:textFill>
        </w:rPr>
        <w:t xml:space="preserve">盐城市公安局</w:t>
      </w:r>
      <w:r/>
    </w:p>
    <w:p>
      <w:pPr>
        <w:pStyle w:val="827"/>
        <w:jc w:val="center"/>
        <w:spacing w:line="400" w:lineRule="exact"/>
        <w:rPr>
          <w:rFonts w:hint="eastAsia" w:ascii="黑体" w:hAnsi="黑体" w:eastAsia="黑体" w:cs="黑体"/>
          <w:bCs/>
          <w:color w:val="000000" w:themeColor="text1"/>
          <w:highlight w:val="none"/>
          <w14:textFill>
            <w14:solidFill>
              <w14:schemeClr w14:val="tx1"/>
            </w14:solidFill>
          </w14:textFill>
        </w:rPr>
      </w:pPr>
      <w:r>
        <w:rPr>
          <w:rFonts w:hint="eastAsia" w:ascii="黑体" w:hAnsi="黑体" w:eastAsia="黑体" w:cs="黑体"/>
          <w:bCs/>
          <w:color w:val="000000" w:themeColor="text1"/>
          <w:highlight w:val="none"/>
          <w14:textFill>
            <w14:solidFill>
              <w14:schemeClr w14:val="tx1"/>
            </w14:solidFill>
          </w14:textFill>
        </w:rPr>
        <w:t xml:space="preserve">2025年</w:t>
      </w:r>
      <w:r>
        <w:rPr>
          <w:rFonts w:hint="eastAsia" w:ascii="黑体" w:hAnsi="黑体" w:eastAsia="黑体" w:cs="黑体"/>
          <w:bCs/>
          <w:color w:val="000000" w:themeColor="text1"/>
          <w:highlight w:val="none"/>
          <w:lang w:val="en-US" w:eastAsia="zh-CN"/>
          <w14:textFill>
            <w14:solidFill>
              <w14:schemeClr w14:val="tx1"/>
            </w14:solidFill>
          </w14:textFill>
        </w:rPr>
        <w:t xml:space="preserve">12</w:t>
      </w:r>
      <w:r>
        <w:rPr>
          <w:rFonts w:hint="eastAsia" w:ascii="黑体" w:hAnsi="黑体" w:eastAsia="黑体" w:cs="黑体"/>
          <w:bCs/>
          <w:color w:val="000000" w:themeColor="text1"/>
          <w:highlight w:val="none"/>
          <w14:textFill>
            <w14:solidFill>
              <w14:schemeClr w14:val="tx1"/>
            </w14:solidFill>
          </w14:textFill>
        </w:rPr>
        <w:t xml:space="preserve">月</w:t>
      </w:r>
      <w:r/>
    </w:p>
    <w:p>
      <w:pPr>
        <w:pStyle w:val="827"/>
        <w:jc w:val="center"/>
        <w:spacing w:line="360" w:lineRule="auto"/>
        <w:rPr>
          <w:rFonts w:asciiTheme="minorEastAsia" w:hAnsiTheme="minorEastAsia" w:eastAsiaTheme="minorEastAsia"/>
          <w:color w:val="000000" w:themeColor="text1"/>
          <w:highlight w:val="none"/>
          <w14:textFill>
            <w14:solidFill>
              <w14:schemeClr w14:val="tx1"/>
            </w14:solidFill>
          </w14:textFill>
        </w:rPr>
        <w:sectPr>
          <w:headerReference w:type="default" r:id="rId9"/>
          <w:head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rPr>
          <w:color w:val="000000" w:themeColor="text1"/>
          <w:highlight w:val="none"/>
          <w14:textFill>
            <w14:solidFill>
              <w14:schemeClr w14:val="tx1"/>
            </w14:solidFill>
          </w14:textFill>
        </w:rPr>
        <w:t xml:space="preserve"> </w:t>
      </w:r>
      <w:r/>
    </w:p>
    <w:p>
      <w:pPr>
        <w:jc w:val="center"/>
        <w:spacing w:line="700" w:lineRule="exact"/>
        <w:widowControl/>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r>
      <w:r/>
    </w:p>
    <w:p>
      <w:pPr>
        <w:jc w:val="center"/>
        <w:spacing w:line="700" w:lineRule="exact"/>
        <w:widowControl/>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总  目  录</w:t>
      </w:r>
      <w:r/>
    </w:p>
    <w:p>
      <w:pP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numPr>
          <w:ilvl w:val="0"/>
          <w:numId w:val="2"/>
        </w:num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 招标公告………………………………1</w:t>
      </w:r>
      <w:r/>
    </w:p>
    <w:p>
      <w:pPr>
        <w:numPr>
          <w:ilvl w:val="0"/>
          <w:numId w:val="2"/>
        </w:num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 投标人须知……………………………5</w:t>
      </w:r>
      <w:r/>
    </w:p>
    <w:p>
      <w:pPr>
        <w:numPr>
          <w:ilvl w:val="0"/>
          <w:numId w:val="2"/>
        </w:num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 合同文本………………………………2</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3</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第四章  采购需求………………………………</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32</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59</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64</w:t>
      </w:r>
      <w:r/>
    </w:p>
    <w:p>
      <w:pPr>
        <w:ind w:left="1856" w:hanging="1018"/>
        <w:spacing w:line="560" w:lineRule="exact"/>
        <w:rPr>
          <w:rFonts w:hint="eastAsia" w:ascii="黑体" w:hAnsi="Showcard Gothic" w:eastAsia="黑体" w:cs="Times New Roman"/>
          <w:color w:val="000000" w:themeColor="text1"/>
          <w:sz w:val="36"/>
          <w:highlight w:val="none"/>
          <w:lang w:val="en-US" w:eastAsia="zh-CN"/>
          <w14:textFill>
            <w14:solidFill>
              <w14:schemeClr w14:val="tx1"/>
            </w14:solidFill>
          </w14:textFill>
        </w:rPr>
        <w:sectPr>
          <w:footerReference w:type="default" r:id="rId11"/>
          <w:footerReference w:type="first" r:id="rId12"/>
          <w:footnotePr/>
          <w:endnotePr/>
          <w:type w:val="nextPage"/>
          <w:pgSz w:w="11906" w:h="16838" w:orient="portrait"/>
          <w:pgMar w:top="1440" w:right="1633" w:bottom="1440" w:left="1633" w:header="737" w:footer="1134" w:gutter="0"/>
          <w:pgNumType w:start="1"/>
          <w:cols w:num="1" w:sep="0" w:space="425" w:equalWidth="1"/>
          <w:docGrid w:linePitch="360"/>
          <w:titlePg/>
        </w:sectPr>
        <w:outlineLvl w:val="0"/>
      </w:pPr>
      <w:r>
        <w:rPr>
          <w:rFonts w:hint="eastAsia" w:ascii="黑体" w:hAnsi="Showcard Gothic" w:eastAsia="黑体" w:cs="Times New Roman"/>
          <w:color w:val="000000" w:themeColor="text1"/>
          <w:sz w:val="36"/>
          <w:highlight w:val="none"/>
          <w:lang w:val="en-US" w:eastAsia="zh-CN"/>
          <w14:textFill>
            <w14:solidFill>
              <w14:schemeClr w14:val="tx1"/>
            </w14:solidFill>
          </w14:textFill>
        </w:rPr>
      </w:r>
      <w:r/>
    </w:p>
    <w:p>
      <w:pPr>
        <w:jc w:val="center"/>
        <w:spacing w:line="700" w:lineRule="exact"/>
        <w:widowControl/>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203060312"/>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第一章  招标公告</w:t>
      </w:r>
      <w:r/>
    </w:p>
    <w:p>
      <w:pPr>
        <w:spacing w:line="200" w:lineRule="exact"/>
        <w:widowControl/>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themeColor="text1"/>
          <w:sz w:val="24"/>
          <w:szCs w:val="20"/>
          <w:highlight w:val="none"/>
          <w14:textFill>
            <w14:solidFill>
              <w14:schemeClr w14:val="tx1"/>
            </w14:solidFill>
          </w14:textFill>
        </w:rPr>
        <w:t xml:space="preserve">项目概况</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盐城市公安局互联网信息处置平台（二期）项目JSZC-320900-JZCG-G2025-0078</w:t>
      </w:r>
      <w:r>
        <w:rPr>
          <w:rFonts w:hint="eastAsia" w:ascii="宋体" w:hAnsi="宋体" w:eastAsia="宋体" w:cs="宋体"/>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14:textFill>
            <w14:solidFill>
              <w14:schemeClr w14:val="tx1"/>
            </w14:solidFill>
          </w14:textFill>
        </w:rPr>
        <w:t xml:space="preserve">年</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14:textFill>
            <w14:solidFill>
              <w14:schemeClr w14:val="tx1"/>
            </w14:solidFill>
          </w14:textFill>
        </w:rPr>
        <w:t xml:space="preserve">月9</w:t>
      </w:r>
      <w:r>
        <w:rPr>
          <w:rFonts w:hint="eastAsia" w:ascii="宋体" w:hAnsi="宋体" w:eastAsia="宋体" w:cs="宋体"/>
          <w:color w:val="000000" w:themeColor="text1"/>
          <w:sz w:val="24"/>
          <w:szCs w:val="20"/>
          <w:highlight w:val="none"/>
          <w14:textFill>
            <w14:solidFill>
              <w14:schemeClr w14:val="tx1"/>
            </w14:solidFill>
          </w14:textFill>
        </w:rPr>
        <w:t xml:space="preserve">日9点30分（北京时间）前递交投标文件。</w:t>
      </w:r>
      <w:bookmarkEnd w:id="0"/>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bookmarkStart w:id="1" w:name="_Toc28359079"/>
      <w:r/>
      <w:bookmarkStart w:id="2" w:name="_Toc28359002"/>
      <w:r/>
      <w:bookmarkStart w:id="3" w:name="_Hlk24379207"/>
      <w:r/>
      <w:bookmarkStart w:id="4" w:name="_Toc35393790"/>
      <w:r/>
      <w:bookmarkStart w:id="5" w:name="_Toc38985263"/>
      <w:r/>
      <w:bookmarkStart w:id="6" w:name="_Toc35393621"/>
      <w:r/>
      <w:bookmarkStart w:id="7" w:name="_Toc28359086"/>
      <w:r>
        <w:rPr>
          <w:rFonts w:hint="eastAsia" w:ascii="宋体" w:hAnsi="宋体" w:eastAsia="宋体" w:cs="宋体"/>
          <w:b/>
          <w:bCs/>
          <w:color w:val="000000" w:themeColor="text1"/>
          <w:sz w:val="24"/>
          <w:szCs w:val="20"/>
          <w:highlight w:val="none"/>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JSZC-320900-JZCG-G2025-0078</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w:t>
      </w:r>
      <w:bookmarkStart w:id="8" w:name="OLE_LINK4"/>
      <w:r/>
      <w:bookmarkStart w:id="9" w:name="OLE_LINK3"/>
      <w:r>
        <w:rPr>
          <w:rFonts w:hint="eastAsia" w:ascii="宋体" w:hAnsi="宋体" w:eastAsia="宋体" w:cs="宋体"/>
          <w:color w:val="000000" w:themeColor="text1"/>
          <w:sz w:val="24"/>
          <w:szCs w:val="20"/>
          <w:highlight w:val="none"/>
          <w14:textFill>
            <w14:solidFill>
              <w14:schemeClr w14:val="tx1"/>
            </w14:solidFill>
          </w14:textFill>
        </w:rPr>
        <w:t xml:space="preserve">项目名称：</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盐城市公安局互联网信息处置平台（二期）项目</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bookmarkStart w:id="10" w:name="OLE_LINK7"/>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6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bookmarkEnd w:id="8"/>
      <w:r/>
      <w:bookmarkEnd w:id="9"/>
      <w:r/>
      <w:bookmarkEnd w:id="10"/>
      <w:r>
        <w:rPr>
          <w:rFonts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75</w:t>
      </w:r>
      <w:r>
        <w:rPr>
          <w:rFonts w:hint="eastAsia" w:ascii="宋体" w:hAnsi="宋体"/>
          <w:color w:val="000000" w:themeColor="text1"/>
          <w:sz w:val="24"/>
          <w:highlight w:val="none"/>
          <w14:textFill>
            <w14:solidFill>
              <w14:schemeClr w14:val="tx1"/>
            </w14:solidFill>
          </w14:textFill>
        </w:rPr>
        <w:t xml:space="preserve">万元</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bookmarkStart w:id="11" w:name="OLE_LINK1"/>
      <w:r/>
      <w:bookmarkStart w:id="12" w:name="OLE_LINK2"/>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盐城市公安局互联网信息处置平台（二期）</w:t>
      </w:r>
      <w:r>
        <w:rPr>
          <w:rFonts w:hint="eastAsia" w:ascii="宋体" w:hAnsi="宋体" w:eastAsia="宋体" w:cs="宋体"/>
          <w:color w:val="000000" w:themeColor="text1"/>
          <w:sz w:val="24"/>
          <w:szCs w:val="20"/>
          <w:highlight w:val="none"/>
          <w14:textFill>
            <w14:solidFill>
              <w14:schemeClr w14:val="tx1"/>
            </w14:solidFill>
          </w14:textFill>
        </w:rPr>
        <w:t xml:space="preserve">，具体详见第四章采购需求。</w:t>
      </w:r>
      <w:bookmarkEnd w:id="11"/>
      <w:r/>
      <w:bookmarkEnd w:id="12"/>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w:t>
      </w:r>
      <w:bookmarkStart w:id="13" w:name="OLE_LINK25"/>
      <w:r/>
      <w:bookmarkStart w:id="14" w:name="OLE_LINK20"/>
      <w:r>
        <w:rPr>
          <w:rFonts w:hint="eastAsia" w:ascii="宋体" w:hAnsi="宋体" w:eastAsia="宋体" w:cs="宋体"/>
          <w:color w:val="000000" w:themeColor="text1"/>
          <w:sz w:val="24"/>
          <w:szCs w:val="20"/>
          <w:highlight w:val="none"/>
          <w14:textFill>
            <w14:solidFill>
              <w14:schemeClr w14:val="tx1"/>
            </w14:solidFill>
          </w14:textFill>
        </w:rPr>
        <w:t xml:space="preserve">.</w:t>
      </w:r>
      <w:bookmarkEnd w:id="13"/>
      <w:r/>
      <w:bookmarkEnd w:id="14"/>
      <w:r>
        <w:rPr>
          <w:rFonts w:hint="eastAsia" w:ascii="宋体" w:hAnsi="宋体" w:eastAsia="宋体" w:cs="宋体"/>
          <w:color w:val="000000" w:themeColor="text1"/>
          <w:sz w:val="24"/>
          <w:szCs w:val="20"/>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合同签订后90天交付。自验收合格之日起，3年免费维保期。</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outlineLvl w:val="2"/>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二、申请人的资格要求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1.2上一年度的财务状况报告（成立不满一年无需提供）；</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w:t>
      </w:r>
      <w:r>
        <w:rPr>
          <w:rFonts w:hint="eastAsia" w:ascii="宋体" w:hAnsi="宋体" w:cs="宋体"/>
          <w:color w:val="000000" w:themeColor="text1"/>
          <w:sz w:val="24"/>
          <w:szCs w:val="20"/>
          <w:highlight w:val="none"/>
          <w:lang w:eastAsia="zh-CN"/>
          <w14:textFill>
            <w14:solidFill>
              <w14:schemeClr w14:val="tx1"/>
            </w14:solidFill>
          </w14:textFill>
        </w:rPr>
        <w:t xml:space="preserve">文件</w:t>
      </w:r>
      <w:r>
        <w:rPr>
          <w:rFonts w:hint="eastAsia" w:ascii="宋体" w:hAnsi="宋体" w:cs="宋体"/>
          <w:color w:val="000000" w:themeColor="text1"/>
          <w:sz w:val="24"/>
          <w:szCs w:val="20"/>
          <w:highlight w:val="none"/>
          <w14:textFill>
            <w14:solidFill>
              <w14:schemeClr w14:val="tx1"/>
            </w14:solidFill>
          </w14:textFill>
        </w:rPr>
        <w:t xml:space="preserve">无需提供证明材料）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cs="宋体"/>
          <w:color w:val="000000" w:themeColor="text1"/>
          <w:sz w:val="24"/>
          <w:szCs w:val="20"/>
          <w:highlight w:val="none"/>
          <w14:textFill>
            <w14:solidFill>
              <w14:schemeClr w14:val="tx1"/>
            </w14:solidFill>
          </w14:textFill>
        </w:rPr>
        <w:t xml:space="preserve">落实政府采购政策需满足的资格要求：</w:t>
      </w:r>
      <w:r>
        <w:rPr>
          <w:rFonts w:hint="default" w:ascii="宋体" w:hAnsi="宋体" w:cs="宋体"/>
          <w:b/>
          <w:bCs/>
          <w:color w:val="000000" w:themeColor="text1"/>
          <w:sz w:val="24"/>
          <w:szCs w:val="20"/>
          <w:highlight w:val="none"/>
          <w:lang w:val="en-US" w:eastAsia="zh-CN"/>
          <w14:textFill>
            <w14:solidFill>
              <w14:schemeClr w14:val="tx1"/>
            </w14:solidFill>
          </w14:textFill>
        </w:rPr>
        <w:t xml:space="preserve">本项目专门面向中小企业采购。采购标的的所属行业为</w:t>
      </w: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软件和信息技术服务业</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，投标人需按照招标文件的要求提供相应的《中小企业声明函》。企业标准请参照《关于印发中小企业划型标准规定的通知》（工信部联企业[2011]300号）文件规定自行填写。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3.本项目的特定资格要求： 无</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三、获取招标文件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bookmarkStart w:id="15" w:name="_Toc28359082"/>
      <w:r/>
      <w:bookmarkStart w:id="16" w:name="_Toc28359005"/>
      <w:r/>
      <w:bookmarkStart w:id="17" w:name="_Toc38985266"/>
      <w:r/>
      <w:bookmarkStart w:id="18" w:name="_Toc35393793"/>
      <w:r/>
      <w:bookmarkStart w:id="19" w:name="_Toc35393624"/>
      <w:r>
        <w:rPr>
          <w:rFonts w:hint="eastAsia" w:ascii="宋体" w:hAnsi="宋体" w:cs="宋体"/>
          <w:color w:val="000000" w:themeColor="text1"/>
          <w:sz w:val="24"/>
          <w:szCs w:val="20"/>
          <w:highlight w:val="none"/>
          <w14:textFill>
            <w14:solidFill>
              <w14:schemeClr w14:val="tx1"/>
            </w14:solidFill>
          </w14:textFill>
        </w:rPr>
        <w:t xml:space="preserve">1.时间：</w:t>
      </w:r>
      <w:bookmarkEnd w:id="15"/>
      <w:r/>
      <w:bookmarkEnd w:id="16"/>
      <w:r/>
      <w:bookmarkEnd w:id="17"/>
      <w:r/>
      <w:bookmarkEnd w:id="18"/>
      <w:r/>
      <w:bookmarkEnd w:id="19"/>
      <w:r>
        <w:rPr>
          <w:rFonts w:hint="eastAsia" w:ascii="宋体" w:hAnsi="宋体" w:cs="宋体"/>
          <w:color w:val="000000" w:themeColor="text1"/>
          <w:sz w:val="24"/>
          <w:szCs w:val="20"/>
          <w:highlight w:val="none"/>
          <w14:textFill>
            <w14:solidFill>
              <w14:schemeClr w14:val="tx1"/>
            </w14:solidFill>
          </w14:textFill>
        </w:rPr>
        <w:t xml:space="preserve">自招标文件公告发布之日起5个工作日</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4.售价：0元</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四、提交投标文件截止时间、开标时间和地点</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1.时间：2026年1月9日9点30分（北京时间）</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2.地点：苏采云“不见面”开标大厅。</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bookmarkStart w:id="20" w:name="_Toc35393794"/>
      <w:r/>
      <w:bookmarkStart w:id="21" w:name="_Toc35393625"/>
      <w:r/>
      <w:bookmarkStart w:id="22" w:name="_Toc38985267"/>
      <w:r/>
      <w:bookmarkStart w:id="23" w:name="_Toc28359007"/>
      <w:r/>
      <w:bookmarkStart w:id="24" w:name="_Toc28359084"/>
      <w:r>
        <w:rPr>
          <w:rFonts w:hint="eastAsia" w:ascii="宋体" w:hAnsi="宋体" w:eastAsia="宋体" w:cs="宋体"/>
          <w:b/>
          <w:bCs/>
          <w:color w:val="000000" w:themeColor="text1"/>
          <w:sz w:val="24"/>
          <w:szCs w:val="20"/>
          <w:highlight w:val="none"/>
          <w14:textFill>
            <w14:solidFill>
              <w14:schemeClr w14:val="tx1"/>
            </w14:solidFill>
          </w14:textFill>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bookmarkStart w:id="25" w:name="_Toc35393626"/>
      <w:r/>
      <w:bookmarkStart w:id="26" w:name="_Toc38985268"/>
      <w:r/>
      <w:bookmarkStart w:id="27" w:name="_Toc35393795"/>
      <w:r>
        <w:rPr>
          <w:rFonts w:hint="eastAsia" w:ascii="宋体" w:hAnsi="宋体" w:eastAsia="宋体" w:cs="宋体"/>
          <w:color w:val="000000" w:themeColor="text1"/>
          <w:sz w:val="24"/>
          <w:szCs w:val="20"/>
          <w:highlight w:val="none"/>
          <w14:textFill>
            <w14:solidFill>
              <w14:schemeClr w14:val="tx1"/>
            </w14:solidFill>
          </w14:textFill>
        </w:rPr>
        <w:t xml:space="preserve">自本公告发布之日起5个工作日</w:t>
      </w:r>
      <w:bookmarkEnd w:id="25"/>
      <w:r/>
      <w:bookmarkEnd w:id="26"/>
      <w:r/>
      <w:bookmarkEnd w:id="27"/>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《苏采云系统供应商操作手册》：在盐城市政府采购网点击【办事指南】-【供应商参与政府采购活动相关资料】。</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outlineLvl w:val="2"/>
      </w:pPr>
      <w:r>
        <w:rPr>
          <w:rFonts w:hint="eastAsia" w:ascii="宋体" w:hAnsi="宋体" w:eastAsia="宋体" w:cs="宋体"/>
          <w:color w:val="000000" w:themeColor="text1"/>
          <w:sz w:val="24"/>
          <w:szCs w:val="20"/>
          <w:highlight w:val="none"/>
          <w14:textFill>
            <w14:solidFill>
              <w14:schemeClr w14:val="tx1"/>
            </w14:solidFill>
          </w14:textFill>
        </w:rPr>
        <w:t xml:space="preserve">2.潜在供应商访问电子招标响应交易平台的网络地址和方法：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2.1“苏采云”系统用户注册</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pStyle w:val="827"/>
        <w:ind w:firstLine="480"/>
        <w:jc w:val="both"/>
        <w:spacing w:before="0" w:after="0" w:line="560" w:lineRule="exact"/>
        <w:rPr>
          <w:rFonts w:hint="eastAsia" w:ascii="宋体" w:hAnsi="宋体" w:eastAsia="宋体" w:cs="宋体"/>
          <w:color w:val="000000" w:themeColor="text1"/>
          <w:sz w:val="24"/>
          <w:szCs w:val="20"/>
          <w:highlight w:val="none"/>
          <w14:textFill>
            <w14:solidFill>
              <w14:schemeClr w14:val="tx1"/>
            </w14:solidFill>
          </w14:textFill>
        </w:rPr>
        <w:outlineLvl w:val="2"/>
      </w:pPr>
      <w:r>
        <w:rPr>
          <w:rFonts w:hint="eastAsia" w:ascii="宋体" w:hAnsi="宋体" w:eastAsia="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七、对本次招标提出询问，请按以下方式联系。</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1.采购人信息 </w:t>
      </w:r>
      <w:r/>
    </w:p>
    <w:p>
      <w:pPr>
        <w:ind w:firstLine="480"/>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单位名称：</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盐城市公安局</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单位地址：盐城市平安路9号</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 系 人：江警官</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联系电话：0515-83220095</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2.采购代理机构信息</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名 </w:t>
      </w: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称：盐城市政府采购中心 </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地    址：盐城市府西路1号市公共资源交易中心5楼</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 系 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顾女士 </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联系方式：</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0515-86665072</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28" w:name="_Toc28359021"/>
      <w:r>
        <w:rPr>
          <w:rFonts w:hint="eastAsia" w:ascii="宋体" w:hAnsi="宋体" w:eastAsia="Arial" w:cs="宋体"/>
          <w:b/>
          <w:bCs/>
          <w:color w:val="000000" w:themeColor="text1"/>
          <w:sz w:val="24"/>
          <w:szCs w:val="20"/>
          <w:highlight w:val="none"/>
          <w14:textFill>
            <w14:solidFill>
              <w14:schemeClr w14:val="tx1"/>
            </w14:solidFill>
          </w14:textFill>
        </w:rPr>
        <w:t xml:space="preserve">3.</w:t>
      </w:r>
      <w:bookmarkEnd w:id="28"/>
      <w:r>
        <w:rPr>
          <w:rFonts w:hint="eastAsia" w:ascii="宋体" w:hAnsi="宋体" w:eastAsia="Arial" w:cs="宋体"/>
          <w:b/>
          <w:bCs/>
          <w:color w:val="000000" w:themeColor="text1"/>
          <w:sz w:val="24"/>
          <w:szCs w:val="20"/>
          <w:highlight w:val="none"/>
          <w14:textFill>
            <w14:solidFill>
              <w14:schemeClr w14:val="tx1"/>
            </w14:solidFill>
          </w14:textFill>
        </w:rPr>
        <w:t xml:space="preserve">项目联系方式</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项目联系人：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顾女士  </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联系电话：</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0515-86665072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clear="all"/>
      </w:r>
      <w:r/>
    </w:p>
    <w:p>
      <w:pPr>
        <w:jc w:val="center"/>
        <w:spacing w:line="700" w:lineRule="exact"/>
        <w:widowControl/>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9" w:name="_Toc120614211"/>
      <w:r/>
      <w:bookmarkStart w:id="30" w:name="_Toc203060313"/>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第二章  </w:t>
      </w:r>
      <w:bookmarkEnd w:id="29"/>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投标人须知</w:t>
      </w:r>
      <w:bookmarkEnd w:id="30"/>
      <w:r/>
      <w:bookmarkStart w:id="31" w:name="_Toc479757207"/>
      <w:r/>
      <w:bookmarkEnd w:id="31"/>
      <w:r/>
      <w:bookmarkStart w:id="32" w:name="_Toc120614221"/>
      <w:r/>
      <w:bookmarkEnd w:id="32"/>
      <w:r/>
      <w:bookmarkStart w:id="33" w:name="_Toc513029242"/>
      <w:r/>
      <w:bookmarkEnd w:id="33"/>
      <w:r/>
      <w:bookmarkStart w:id="34" w:name="_Toc16938558"/>
      <w:r/>
      <w:bookmarkEnd w:id="34"/>
      <w:r/>
      <w:bookmarkStart w:id="35" w:name="_Toc20823314"/>
      <w:r/>
      <w:bookmarkEnd w:id="35"/>
      <w:r/>
      <w:bookmarkStart w:id="36" w:name="_Hlt26670360"/>
      <w:r/>
      <w:bookmarkStart w:id="37" w:name="_Hlt26954848"/>
      <w:r/>
      <w:bookmarkStart w:id="38" w:name="_Hlt26670482"/>
      <w:r/>
      <w:bookmarkStart w:id="39" w:name="_Hlt26954852"/>
      <w:r/>
      <w:bookmarkStart w:id="40" w:name="_Hlt26954838"/>
      <w:r/>
      <w:bookmarkStart w:id="41" w:name="_Hlt26954846"/>
      <w:r/>
      <w:bookmarkStart w:id="42" w:name="_Hlt26954739"/>
      <w:r/>
      <w:bookmarkStart w:id="43" w:name="_Hlt26954731"/>
      <w:r/>
      <w:bookmarkStart w:id="44" w:name="_Hlt16619475"/>
      <w:r/>
      <w:bookmarkStart w:id="45" w:name="_Toc513029226"/>
      <w:r/>
      <w:bookmarkStart w:id="46" w:name="_Hlt26668975"/>
      <w:r/>
      <w:bookmarkStart w:id="47" w:name="_Hlt26670486"/>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一、总</w:t>
      </w:r>
      <w:r>
        <w:rPr>
          <w:rFonts w:hint="eastAsia" w:ascii="宋体" w:hAnsi="宋体" w:eastAsia="Arial" w:cs="宋体"/>
          <w:b/>
          <w:bCs/>
          <w:color w:val="000000" w:themeColor="text1"/>
          <w:sz w:val="24"/>
          <w:szCs w:val="20"/>
          <w:highlight w:val="none"/>
          <w14:textFill>
            <w14:solidFill>
              <w14:schemeClr w14:val="tx1"/>
            </w14:solidFill>
          </w14:textFill>
        </w:rPr>
        <w:t xml:space="preserve">则</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48" w:name="_Toc16938520"/>
      <w:r/>
      <w:bookmarkStart w:id="49" w:name="_Toc458694821"/>
      <w:r/>
      <w:bookmarkStart w:id="50" w:name="_Toc20823276"/>
      <w:r/>
      <w:bookmarkStart w:id="51" w:name="_Toc513029204"/>
      <w:r/>
      <w:bookmarkStart w:id="52" w:name="OLE_LINK15"/>
      <w:r/>
      <w:bookmarkStart w:id="53" w:name="OLE_LINK14"/>
      <w:r>
        <w:rPr>
          <w:rFonts w:hint="eastAsia" w:ascii="宋体" w:hAnsi="宋体" w:eastAsia="Arial" w:cs="宋体"/>
          <w:b/>
          <w:bCs/>
          <w:color w:val="000000" w:themeColor="text1"/>
          <w:sz w:val="24"/>
          <w:szCs w:val="20"/>
          <w:highlight w:val="none"/>
          <w14:textFill>
            <w14:solidFill>
              <w14:schemeClr w14:val="tx1"/>
            </w14:solidFill>
          </w14:textFill>
        </w:rPr>
        <w:t xml:space="preserve">1</w:t>
      </w:r>
      <w:bookmarkEnd w:id="48"/>
      <w:r>
        <w:rPr>
          <w:rFonts w:hint="eastAsia" w:ascii="宋体" w:hAnsi="宋体" w:eastAsia="Arial" w:cs="宋体"/>
          <w:b/>
          <w:bCs/>
          <w:color w:val="000000" w:themeColor="text1"/>
          <w:sz w:val="24"/>
          <w:szCs w:val="20"/>
          <w:highlight w:val="none"/>
          <w14:textFill>
            <w14:solidFill>
              <w14:schemeClr w14:val="tx1"/>
            </w14:solidFill>
          </w14:textFill>
        </w:rPr>
        <w:t xml:space="preserve">、招标方式</w:t>
      </w:r>
      <w:bookmarkEnd w:id="49"/>
      <w:r/>
      <w:bookmarkEnd w:id="50"/>
      <w:r/>
      <w:bookmarkEnd w:id="51"/>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color w:val="000000" w:themeColor="text1"/>
          <w:sz w:val="24"/>
          <w:szCs w:val="20"/>
          <w:highlight w:val="none"/>
          <w:lang w:val="zh-CN"/>
          <w14:textFill>
            <w14:solidFill>
              <w14:schemeClr w14:val="tx1"/>
            </w14:solidFill>
          </w14:textFill>
        </w:rPr>
        <w:outlineLvl w:val="2"/>
      </w:pPr>
      <w:r/>
      <w:bookmarkStart w:id="54" w:name="_Toc513029205"/>
      <w:r/>
      <w:bookmarkStart w:id="55" w:name="_Toc16938521"/>
      <w:r/>
      <w:bookmarkStart w:id="56" w:name="_Toc20823277"/>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2、合格的投标人</w:t>
      </w:r>
      <w:bookmarkEnd w:id="54"/>
      <w:r/>
      <w:bookmarkEnd w:id="55"/>
      <w:r/>
      <w:bookmarkEnd w:id="56"/>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2.1满足招标公告中供应商的资格要求的规定。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2.2满足本文件实质性要求和条件的规定。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57" w:name="_Toc513029206"/>
      <w:r/>
      <w:bookmarkStart w:id="58" w:name="_Toc16938522"/>
      <w:r/>
      <w:bookmarkStart w:id="59" w:name="_Toc20823278"/>
      <w:r>
        <w:rPr>
          <w:rFonts w:hint="eastAsia" w:ascii="宋体" w:hAnsi="宋体" w:eastAsia="Arial" w:cs="宋体"/>
          <w:b/>
          <w:bCs/>
          <w:color w:val="000000" w:themeColor="text1"/>
          <w:sz w:val="24"/>
          <w:szCs w:val="20"/>
          <w:highlight w:val="none"/>
          <w14:textFill>
            <w14:solidFill>
              <w14:schemeClr w14:val="tx1"/>
            </w14:solidFill>
          </w14:textFill>
        </w:rPr>
        <w:t xml:space="preserve">3、适用法律</w:t>
      </w:r>
      <w:bookmarkEnd w:id="57"/>
      <w:r/>
      <w:bookmarkEnd w:id="58"/>
      <w:r/>
      <w:bookmarkEnd w:id="59"/>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60" w:name="_Toc16938523"/>
      <w:r/>
      <w:bookmarkStart w:id="61" w:name="_Toc513029207"/>
      <w:r/>
      <w:bookmarkStart w:id="62" w:name="_Toc20823279"/>
      <w:r/>
      <w:bookmarkStart w:id="63" w:name="_Toc462564067"/>
      <w:r>
        <w:rPr>
          <w:rFonts w:hint="eastAsia" w:ascii="宋体" w:hAnsi="宋体" w:eastAsia="Arial" w:cs="宋体"/>
          <w:b/>
          <w:bCs/>
          <w:color w:val="000000" w:themeColor="text1"/>
          <w:sz w:val="24"/>
          <w:szCs w:val="20"/>
          <w:highlight w:val="none"/>
          <w14:textFill>
            <w14:solidFill>
              <w14:schemeClr w14:val="tx1"/>
            </w14:solidFill>
          </w14:textFill>
        </w:rPr>
        <w:t xml:space="preserve">4、投标费用</w:t>
      </w:r>
      <w:bookmarkEnd w:id="60"/>
      <w:r/>
      <w:bookmarkEnd w:id="61"/>
      <w:r/>
      <w:bookmarkEnd w:id="62"/>
      <w:r/>
      <w:bookmarkEnd w:id="63"/>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4.2本次招标采购中心和采购人不收取标书工本费与中标服务费。</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5、招标文件的约束力</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bookmarkStart w:id="64" w:name="_Toc16938525"/>
      <w:r/>
      <w:bookmarkStart w:id="65" w:name="_Toc513029209"/>
      <w:r/>
      <w:bookmarkStart w:id="66" w:name="_Toc120614215"/>
      <w:r/>
      <w:bookmarkStart w:id="67" w:name="_Toc20823281"/>
      <w:r>
        <w:rPr>
          <w:rFonts w:hint="eastAsia" w:ascii="宋体" w:hAnsi="宋体" w:eastAsia="Arial" w:cs="宋体"/>
          <w:b/>
          <w:bCs/>
          <w:color w:val="000000" w:themeColor="text1"/>
          <w:sz w:val="24"/>
          <w:szCs w:val="20"/>
          <w:highlight w:val="none"/>
          <w14:textFill>
            <w14:solidFill>
              <w14:schemeClr w14:val="tx1"/>
            </w14:solidFill>
          </w14:textFill>
        </w:rPr>
        <w:t xml:space="preserve">二、招标文件</w:t>
      </w:r>
      <w:bookmarkEnd w:id="64"/>
      <w:r/>
      <w:bookmarkEnd w:id="65"/>
      <w:r/>
      <w:bookmarkEnd w:id="66"/>
      <w:r/>
      <w:bookmarkEnd w:id="67"/>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68" w:name="_Toc20823282"/>
      <w:r/>
      <w:bookmarkStart w:id="69" w:name="_Toc513029210"/>
      <w:r/>
      <w:bookmarkStart w:id="70" w:name="_Toc16938526"/>
      <w:r>
        <w:rPr>
          <w:rFonts w:hint="eastAsia" w:ascii="宋体" w:hAnsi="宋体" w:eastAsia="Arial" w:cs="宋体"/>
          <w:b/>
          <w:bCs/>
          <w:color w:val="000000" w:themeColor="text1"/>
          <w:sz w:val="24"/>
          <w:szCs w:val="20"/>
          <w:highlight w:val="none"/>
          <w14:textFill>
            <w14:solidFill>
              <w14:schemeClr w14:val="tx1"/>
            </w14:solidFill>
          </w14:textFill>
        </w:rPr>
        <w:t xml:space="preserve">6、招标文件构成</w:t>
      </w:r>
      <w:bookmarkEnd w:id="68"/>
      <w:r/>
      <w:bookmarkEnd w:id="69"/>
      <w:r/>
      <w:bookmarkEnd w:id="70"/>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6.1 招标文件由以下部分组成：</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（1）招标公告</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（2）投标人须知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（3）合同文本</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（4）采购需求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（5）评标方法与评标标准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（6）投标文件格式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请仔细检查招标文件是否齐全，如有缺漏请立即与采购中心联系解决。</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71" w:name="_Toc20823283"/>
      <w:r/>
      <w:bookmarkStart w:id="72" w:name="_Toc16938527"/>
      <w:r/>
      <w:bookmarkStart w:id="73" w:name="_Toc513029211"/>
      <w:r/>
      <w:bookmarkStart w:id="74" w:name="_Toc462564070"/>
      <w:r>
        <w:rPr>
          <w:rFonts w:hint="eastAsia" w:ascii="宋体" w:hAnsi="宋体" w:eastAsia="Arial" w:cs="宋体"/>
          <w:b/>
          <w:bCs/>
          <w:color w:val="000000" w:themeColor="text1"/>
          <w:sz w:val="24"/>
          <w:szCs w:val="20"/>
          <w:highlight w:val="none"/>
          <w14:textFill>
            <w14:solidFill>
              <w14:schemeClr w14:val="tx1"/>
            </w14:solidFill>
          </w14:textFill>
        </w:rPr>
        <w:t xml:space="preserve">7、招标文件的澄清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7.1任何要求对招标文件进行澄清的投标人，应在投标截止期</w:t>
      </w:r>
      <w:r>
        <w:rPr>
          <w:rFonts w:hint="eastAsia" w:ascii="宋体" w:hAnsi="宋体" w:eastAsia="Arial" w:cs="宋体"/>
          <w:b/>
          <w:bCs/>
          <w:color w:val="000000" w:themeColor="text1"/>
          <w:sz w:val="24"/>
          <w:szCs w:val="20"/>
          <w:highlight w:val="none"/>
          <w14:textFill>
            <w14:solidFill>
              <w14:schemeClr w14:val="tx1"/>
            </w14:solidFill>
          </w14:textFill>
        </w:rPr>
        <w:t xml:space="preserve">十日</w:t>
      </w:r>
      <w:r>
        <w:rPr>
          <w:rFonts w:hint="eastAsia" w:ascii="宋体" w:hAnsi="宋体" w:eastAsia="Arial" w:cs="宋体"/>
          <w:color w:val="000000" w:themeColor="text1"/>
          <w:sz w:val="24"/>
          <w:szCs w:val="20"/>
          <w:highlight w:val="none"/>
          <w14:textFill>
            <w14:solidFill>
              <w14:schemeClr w14:val="tx1"/>
            </w14:solidFill>
          </w14:textFill>
        </w:rPr>
        <w:t xml:space="preserve">前按招标公告中的通讯地址，以书面形式通知采购中心。</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8、招标文件的修改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8.1在投标截止时间前，采购中心可以对招标文件进行修改。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8.2采购中心有权按照法定的要求推迟投标截止日期和开标日期。</w:t>
      </w:r>
      <w:r/>
    </w:p>
    <w:p>
      <w:pPr>
        <w:ind w:firstLine="482"/>
        <w:jc w:val="left"/>
        <w:spacing w:line="5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8.3招标文件的修改将在</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三、投标文件的编制</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9、投标文件的语言及度量衡单位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eastAsia="Arial" w:cs="宋体"/>
          <w:b/>
          <w:bCs/>
          <w:color w:val="000000" w:themeColor="text1"/>
          <w:sz w:val="24"/>
          <w:szCs w:val="20"/>
          <w:highlight w:val="none"/>
          <w14:textFill>
            <w14:solidFill>
              <w14:schemeClr w14:val="tx1"/>
            </w14:solidFill>
          </w14:textFill>
        </w:rPr>
        <w:t xml:space="preserve">简体中文</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10、投标文件构成</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10.2如标书制作工具中格式和内容与</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发布的招标文件为准。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11、证明投标人及投标标的符合招标文件规定的文件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12、投标分项报价表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12.1投标人应按照招标文件规定格式填报投标分项报价表。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13、技术要求响应及偏离表、商务要求响应及偏离表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13.2投标人可在投标文件中提供认为需要的其他技术文件或说明。</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14、投标函和开标一览表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15、投标有效期</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15.1投标有效期为采购中心规定的开标之日后</w:t>
      </w: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九十（90）天</w:t>
      </w:r>
      <w:r>
        <w:rPr>
          <w:rFonts w:hint="eastAsia" w:ascii="宋体" w:hAnsi="宋体" w:eastAsia="Arial" w:cs="宋体"/>
          <w:color w:val="000000" w:themeColor="text1"/>
          <w:sz w:val="24"/>
          <w:szCs w:val="20"/>
          <w:highlight w:val="none"/>
          <w14:textFill>
            <w14:solidFill>
              <w14:schemeClr w14:val="tx1"/>
            </w14:solidFill>
          </w14:textFill>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16、投标有效期的延长</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71"/>
      <w:r/>
      <w:bookmarkEnd w:id="72"/>
      <w:r/>
      <w:bookmarkEnd w:id="73"/>
      <w:r/>
      <w:bookmarkEnd w:id="74"/>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bookmarkStart w:id="75" w:name="_Toc16938540"/>
      <w:r/>
      <w:bookmarkStart w:id="76" w:name="_Toc120614217"/>
      <w:r/>
      <w:bookmarkStart w:id="77" w:name="_Toc20823296"/>
      <w:r/>
      <w:bookmarkStart w:id="78" w:name="_Toc513029224"/>
      <w:r/>
      <w:bookmarkStart w:id="79" w:name="_Toc16938545"/>
      <w:r/>
      <w:bookmarkStart w:id="80" w:name="_Toc20823301"/>
      <w:r/>
      <w:bookmarkStart w:id="81" w:name="_Toc513029229"/>
      <w:r/>
      <w:bookmarkStart w:id="82" w:name="_Toc120614218"/>
      <w:r>
        <w:rPr>
          <w:rFonts w:hint="eastAsia" w:ascii="宋体" w:hAnsi="宋体" w:eastAsia="Arial" w:cs="宋体"/>
          <w:b/>
          <w:bCs/>
          <w:color w:val="000000" w:themeColor="text1"/>
          <w:sz w:val="24"/>
          <w:szCs w:val="20"/>
          <w:highlight w:val="none"/>
          <w14:textFill>
            <w14:solidFill>
              <w14:schemeClr w14:val="tx1"/>
            </w14:solidFill>
          </w14:textFill>
        </w:rPr>
        <w:t xml:space="preserve">四、投标文件的递交</w:t>
      </w:r>
      <w:bookmarkEnd w:id="75"/>
      <w:r/>
      <w:bookmarkEnd w:id="76"/>
      <w:r/>
      <w:bookmarkEnd w:id="77"/>
      <w:r/>
      <w:bookmarkEnd w:id="78"/>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83" w:name="_Toc462564084"/>
      <w:r/>
      <w:bookmarkStart w:id="84" w:name="_Toc20823297"/>
      <w:r/>
      <w:bookmarkStart w:id="85" w:name="_Toc513029225"/>
      <w:r/>
      <w:bookmarkStart w:id="86" w:name="_Toc16938541"/>
      <w:r>
        <w:rPr>
          <w:rFonts w:hint="eastAsia" w:ascii="宋体" w:hAnsi="宋体" w:eastAsia="Arial" w:cs="宋体"/>
          <w:b/>
          <w:bCs/>
          <w:color w:val="000000" w:themeColor="text1"/>
          <w:sz w:val="24"/>
          <w:szCs w:val="20"/>
          <w:highlight w:val="none"/>
          <w14:textFill>
            <w14:solidFill>
              <w14:schemeClr w14:val="tx1"/>
            </w14:solidFill>
          </w14:textFill>
        </w:rPr>
        <w:t xml:space="preserve">17、投标文件</w:t>
      </w:r>
      <w:bookmarkEnd w:id="83"/>
      <w:r/>
      <w:bookmarkEnd w:id="84"/>
      <w:r/>
      <w:bookmarkEnd w:id="85"/>
      <w:r/>
      <w:bookmarkEnd w:id="86"/>
      <w:r>
        <w:rPr>
          <w:rFonts w:hint="eastAsia" w:ascii="宋体" w:hAnsi="宋体" w:eastAsia="Arial" w:cs="宋体"/>
          <w:b/>
          <w:bCs/>
          <w:color w:val="000000" w:themeColor="text1"/>
          <w:sz w:val="24"/>
          <w:szCs w:val="20"/>
          <w:highlight w:val="none"/>
          <w14:textFill>
            <w14:solidFill>
              <w14:schemeClr w14:val="tx1"/>
            </w14:solidFill>
          </w14:textFill>
        </w:rPr>
        <w:t xml:space="preserve">的递交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17.1 电子投标文件的递交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投标人应当按照《操作手册》规定，在投标截止时间前制作并上传电子投标文件。</w:t>
      </w:r>
      <w:bookmarkStart w:id="87" w:name="_Toc16938542"/>
      <w:r/>
      <w:bookmarkEnd w:id="87"/>
      <w:r/>
      <w:bookmarkStart w:id="88" w:name="_Toc20823298"/>
      <w:r/>
      <w:bookmarkEnd w:id="88"/>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18、投标截止时间</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i/>
          <w:iCs/>
          <w:color w:val="000000" w:themeColor="text1"/>
          <w:sz w:val="24"/>
          <w:szCs w:val="20"/>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投标人应</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充分考虑</w:t>
      </w:r>
      <w:r>
        <w:rPr>
          <w:rFonts w:hint="eastAsia" w:ascii="宋体" w:hAnsi="宋体" w:eastAsia="Arial" w:cs="宋体"/>
          <w:color w:val="000000" w:themeColor="text1"/>
          <w:sz w:val="24"/>
          <w:szCs w:val="20"/>
          <w:highlight w:val="none"/>
          <w14:textFill>
            <w14:solidFill>
              <w14:schemeClr w14:val="tx1"/>
            </w14:solidFill>
          </w14:textFill>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89" w:name="_Toc16938543"/>
      <w:r/>
      <w:bookmarkStart w:id="90" w:name="_Toc20823299"/>
      <w:r/>
      <w:bookmarkStart w:id="91" w:name="_Toc513029227"/>
      <w:r>
        <w:rPr>
          <w:rFonts w:hint="eastAsia" w:ascii="宋体" w:hAnsi="宋体" w:eastAsia="Arial" w:cs="宋体"/>
          <w:b/>
          <w:bCs/>
          <w:color w:val="000000" w:themeColor="text1"/>
          <w:sz w:val="24"/>
          <w:szCs w:val="20"/>
          <w:highlight w:val="none"/>
          <w14:textFill>
            <w14:solidFill>
              <w14:schemeClr w14:val="tx1"/>
            </w14:solidFill>
          </w14:textFill>
        </w:rPr>
        <w:t xml:space="preserve">19、投标文件</w:t>
      </w:r>
      <w:bookmarkEnd w:id="89"/>
      <w:r/>
      <w:bookmarkEnd w:id="90"/>
      <w:r/>
      <w:bookmarkEnd w:id="91"/>
      <w:r>
        <w:rPr>
          <w:rFonts w:hint="eastAsia" w:ascii="宋体" w:hAnsi="宋体" w:eastAsia="Arial" w:cs="宋体"/>
          <w:b/>
          <w:bCs/>
          <w:color w:val="000000" w:themeColor="text1"/>
          <w:sz w:val="24"/>
          <w:szCs w:val="20"/>
          <w:highlight w:val="none"/>
          <w14:textFill>
            <w14:solidFill>
              <w14:schemeClr w14:val="tx1"/>
            </w14:solidFill>
          </w14:textFill>
        </w:rPr>
        <w:t xml:space="preserve">的拒收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92" w:name="_Toc16938544"/>
      <w:r/>
      <w:bookmarkStart w:id="93" w:name="_Toc20823300"/>
      <w:r/>
      <w:bookmarkStart w:id="94" w:name="_Toc513029228"/>
      <w:r>
        <w:rPr>
          <w:rFonts w:hint="eastAsia" w:ascii="宋体" w:hAnsi="宋体" w:eastAsia="Arial" w:cs="宋体"/>
          <w:b/>
          <w:bCs/>
          <w:color w:val="000000" w:themeColor="text1"/>
          <w:sz w:val="24"/>
          <w:szCs w:val="20"/>
          <w:highlight w:val="none"/>
          <w14:textFill>
            <w14:solidFill>
              <w14:schemeClr w14:val="tx1"/>
            </w14:solidFill>
          </w14:textFill>
        </w:rPr>
        <w:t xml:space="preserve">20、投标文件的撤回和修改</w:t>
      </w:r>
      <w:bookmarkEnd w:id="92"/>
      <w:r/>
      <w:bookmarkEnd w:id="93"/>
      <w:r/>
      <w:bookmarkEnd w:id="94"/>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20.1投标文件的撤回</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20.1.1电子投标文件的撤回</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20.1.2投标人撤回电子投标文件，则认为其不再参与本项目投标活动。</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20.2 投标文件的修改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20.2.2在投标截止时间之后，投标人不得对其电子投标文件作任何修改。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五、开标与评标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21、开标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21.3投标人在开标过程中涉及到的投标文件解密、开标结果确认等工作，应按照《操作手册》规定执行。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22、评标委员会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22.1开标后，采购中心将立即组织评标委员会（以下简称评委会）进行评标。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22.2评委会由采购人代表和有关技术、经济等方面的专家组成，且人员构成符合政府采购有关规定。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22.3评委会独立工作，负责评审所有投标文件并确定中标候选人。</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23、评标过程的保密与公正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24、投标文件的澄清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24.1评标期间，评委会对投标文件中含义不明确、同类问题表述不一致或者有明显文字和计算错误的内容</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有权要求投标人作出必要的澄清、说明或者补正。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评标委员会并非对每个投标人都做澄清要求。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25、对投标文件的初审</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25.1投标文件初审分为资格审查和符合性审查。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25.3如果投标文件实质上没有响应招标文件的要求，评委会将予以拒绝，投标人不得通过修改或撤销</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不符</w:t>
      </w:r>
      <w:r>
        <w:rPr>
          <w:rFonts w:hint="eastAsia" w:ascii="宋体" w:hAnsi="宋体" w:eastAsia="Arial" w:cs="宋体"/>
          <w:color w:val="000000" w:themeColor="text1"/>
          <w:sz w:val="24"/>
          <w:szCs w:val="20"/>
          <w:highlight w:val="none"/>
          <w14:textFill>
            <w14:solidFill>
              <w14:schemeClr w14:val="tx1"/>
            </w14:solidFill>
          </w14:textFill>
        </w:rPr>
        <w:t xml:space="preserve">合要求的偏离或保留而使其投标成为实质性响应的投标。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（2）大写金额和小写金额不一致的，以大写金额为准。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（4）总价金额与按单价汇总金额不一致的，以单价金额计算结果为准。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同时出现两种以上错误的，按照前款规定的顺序修正。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26、无效投标条款和废标条款</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26.1无效投标条款</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26.1.1投标人在苏采云系统规定的时间内未成功解密电子投标文件的。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26.1.2投标人未按照招标文件要求上传电子投标文件的。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26.1.3同一投标人提交两个（含两个）以上不同的投标报价的。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26.1.4投标人不具备招标文件中规</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定的</w:t>
      </w:r>
      <w:r>
        <w:rPr>
          <w:rFonts w:hint="eastAsia" w:ascii="宋体" w:hAnsi="宋体" w:eastAsia="Arial" w:cs="宋体"/>
          <w:color w:val="000000" w:themeColor="text1"/>
          <w:sz w:val="24"/>
          <w:szCs w:val="20"/>
          <w:highlight w:val="none"/>
          <w14:textFill>
            <w14:solidFill>
              <w14:schemeClr w14:val="tx1"/>
            </w14:solidFill>
          </w14:textFill>
        </w:rPr>
        <w:t xml:space="preserve">资格要求的。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26.1.5投标人的报价超过了采购预算或最高限价的。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26.1.6未通过符合性审查的。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26.1.7不符合招标文件中规定的实质性要求和条件的</w:t>
      </w:r>
      <w:r>
        <w:rPr>
          <w:rFonts w:hint="eastAsia" w:ascii="宋体" w:hAnsi="宋体" w:eastAsia="Arial" w:cs="宋体"/>
          <w:i/>
          <w:iCs/>
          <w:color w:val="000000" w:themeColor="text1"/>
          <w:sz w:val="24"/>
          <w:szCs w:val="20"/>
          <w:highlight w:val="none"/>
          <w:u w:val="single"/>
          <w14:textFill>
            <w14:solidFill>
              <w14:schemeClr w14:val="tx1"/>
            </w14:solidFill>
          </w14:textFill>
        </w:rPr>
        <w:t xml:space="preserve">（本招标文件中斜体且有下划线部分为实质性要求和条件）</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26.1.9投标文件含有采购人不能接受的附加条件的。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1.投标报价低于采购项目预算50%的，即投标报价&lt;采购项目预算×50%；</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3.评标委员会认定的供应商报价过低、有可能影响产品质量或者不能诚信履约的其他情形。</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26.1.11投标文件未按照招标文件要求加盖CA电子公章的。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26.1.12其他法律、法规及本招标文件规定的属无效投标的情形。</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26.2废标条款</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26.2.1符合专业条件的供应商或者对招标文件作实质响应的供应商不足三家的。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26.2.2出现影响采购公正的违法、违规行为的。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26.2.3因重大变故，采购任务取消的。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26.2.5因苏采云</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系统故障</w:t>
      </w:r>
      <w:r>
        <w:rPr>
          <w:rFonts w:hint="eastAsia" w:ascii="宋体" w:hAnsi="宋体" w:eastAsia="Arial" w:cs="宋体"/>
          <w:color w:val="000000" w:themeColor="text1"/>
          <w:sz w:val="24"/>
          <w:szCs w:val="20"/>
          <w:highlight w:val="none"/>
          <w14:textFill>
            <w14:solidFill>
              <w14:schemeClr w14:val="tx1"/>
            </w14:solidFill>
          </w14:textFill>
        </w:rPr>
        <w:t xml:space="preserve">原因造成开标不成功的。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26.3 投标截止时间结束后参加投标的供应商不足三家的处理：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六、定标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27、确定中标单位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27.1中标候选人的选取原则和数量见招标文件第五章规定。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27.2采购人应根据评委会推荐的中标候选人确定中标人。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27.3采购中心将在</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发布中标公告，公告期限为1个工作日。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27.4.1提供虚假材料谋取中标的。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27.4.2向采购人、采购中心行贿或者提供其他不正当利益的。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27.4.3属于本文件规定的无效条件，但在评标过程中又未被评委会发现的。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27.4.4与采购人或者其他供应商恶意串通的。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27.4.5采取不正当手段诋毁、排挤其他供应商的。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27.5 有下列情形之一的，视为投标人串通投标，投标无效：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27.5.1不同投标人的投标文件由同一单位或者个人编制。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27.5.2不同投标人委托同一单位或者个人办理投标事宜。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27.5.4不同投标人的投标文件异常一致或者投标报价呈规律性差异。</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28、质疑处理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28.2.2对采购过程提出质疑的，为各采购程序环节结束之日；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28.4</w:t>
      </w:r>
      <w:r>
        <w:rPr>
          <w:rFonts w:hint="eastAsia" w:ascii="宋体" w:hAnsi="宋体" w:eastAsia="Arial" w:cs="宋体"/>
          <w:b/>
          <w:bCs/>
          <w:color w:val="000000" w:themeColor="text1"/>
          <w:sz w:val="24"/>
          <w:szCs w:val="20"/>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28.5 以下情形的质疑不予受理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28.5.1内容不符合《政府采购质疑和投诉办法》第十二条规定的质疑。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28.5.2超出政府采购法定期限的质疑。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28.5.3以传真、电子邮件等方式递交的非原件形式的质疑。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28.5.4未参加投标活动的供应商或在投标活动中自身权益未受到损害的供应商所提出的质疑。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28.5.5供应商组成联合体参加投标，联合体中任何一方或多方未按要求签字、盖章、加盖公章的质疑。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29、中标通知书</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七、授予合同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30.签订合同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30.l中标人应当在中标通知书发出之日起三十日内，按照招标文件确定的事项与采购人签订政府采购合同。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30.3签订合同后，</w:t>
      </w:r>
      <w:r>
        <w:rPr>
          <w:rFonts w:hint="eastAsia" w:ascii="宋体" w:hAnsi="宋体" w:eastAsia="Arial" w:cs="宋体"/>
          <w:i/>
          <w:iCs/>
          <w:color w:val="000000" w:themeColor="text1"/>
          <w:sz w:val="24"/>
          <w:szCs w:val="20"/>
          <w:highlight w:val="none"/>
          <w:u w:val="single"/>
          <w14:textFill>
            <w14:solidFill>
              <w14:schemeClr w14:val="tx1"/>
            </w14:solidFill>
          </w14:textFill>
        </w:rPr>
        <w:t xml:space="preserve">中标人不得将合同标的进行转包</w:t>
      </w:r>
      <w:r>
        <w:rPr>
          <w:rFonts w:hint="eastAsia" w:ascii="宋体" w:hAnsi="宋体" w:eastAsia="Arial" w:cs="宋体"/>
          <w:color w:val="000000" w:themeColor="text1"/>
          <w:sz w:val="24"/>
          <w:szCs w:val="20"/>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31、服务（包含与服务相关的货物）的追加</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32.政府采购政策功能落实</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32.1政府采购线上合同信用融资政策</w:t>
      </w:r>
      <w:r/>
    </w:p>
    <w:p>
      <w:pPr>
        <w:ind w:firstLine="482"/>
        <w:jc w:val="left"/>
        <w:spacing w:line="5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根据《转发江苏省财政厅 中国人民银行南京分行&lt;关于深入推进政府采购线上合同信用融资工作的通知</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〉的通知》</w:t>
      </w:r>
      <w:r>
        <w:rPr>
          <w:rFonts w:hint="eastAsia" w:ascii="宋体" w:hAnsi="宋体" w:eastAsia="Arial" w:cs="宋体"/>
          <w:color w:val="000000" w:themeColor="text1"/>
          <w:sz w:val="24"/>
          <w:szCs w:val="20"/>
          <w:highlight w:val="none"/>
          <w14:textFill>
            <w14:solidFill>
              <w14:schemeClr w14:val="tx1"/>
            </w14:solidFill>
          </w14:textFill>
        </w:rPr>
        <w:t xml:space="preserve">（盐财购〔2021〕20号）规定，中标供应商如有融资需求，可持政府采购合同在线向相关金融机构（具体信息详见江苏省政府采购网</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“政采贷”</w:t>
      </w:r>
      <w:r>
        <w:rPr>
          <w:rFonts w:hint="eastAsia" w:ascii="宋体" w:hAnsi="宋体" w:eastAsia="Arial" w:cs="宋体"/>
          <w:color w:val="000000" w:themeColor="text1"/>
          <w:sz w:val="24"/>
          <w:szCs w:val="20"/>
          <w:highlight w:val="none"/>
          <w14:textFill>
            <w14:solidFill>
              <w14:schemeClr w14:val="tx1"/>
            </w14:solidFill>
          </w14:textFill>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32.2进口产品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32.3中小企业、监狱企业及残疾人福利性单位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32.3.1中小企业定义：</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中小企业是</w:t>
      </w:r>
      <w:r>
        <w:rPr>
          <w:rFonts w:hint="eastAsia" w:ascii="宋体" w:hAnsi="宋体" w:eastAsia="Arial" w:cs="宋体"/>
          <w:color w:val="000000" w:themeColor="text1"/>
          <w:sz w:val="24"/>
          <w:szCs w:val="20"/>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32.3.2供应商提供的货物、工程或者服务符合下列情形的，享受中小企业扶持政策：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32.3.7本项目是否专门面向中小企业预留采购份额见第一章《招标公告》。</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32.3.8采购标的对应的中小企业划分标准所属行业见第四章《采购需求》。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32.4政府采购节能产品、环境标志产品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32.5绿色包装</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32.6政府采购创新产品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32.7绿色数据中心政策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Arial" w:cs="宋体"/>
          <w:color w:val="000000" w:themeColor="text1"/>
          <w:sz w:val="24"/>
          <w:szCs w:val="20"/>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32.8履约保证金政策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确需收取履约保证金的，履约保证金的缴纳形式：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000000" w:themeColor="text1"/>
          <w:sz w:val="24"/>
          <w:highlight w:val="none"/>
          <w14:textFill>
            <w14:solidFill>
              <w14:schemeClr w14:val="tx1"/>
            </w14:solidFill>
          </w14:textFill>
        </w:rPr>
        <w:t xml:space="preserve">免收履约保证金</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33.预付款制度</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本项目落实预付款制度，预付款比例为</w:t>
      </w:r>
      <w:r>
        <w:rPr>
          <w:rFonts w:hint="eastAsia" w:ascii="宋体" w:hAnsi="宋体" w:eastAsia="Arial" w:cs="宋体"/>
          <w:color w:val="000000" w:themeColor="text1"/>
          <w:sz w:val="24"/>
          <w:szCs w:val="20"/>
          <w:highlight w:val="none"/>
          <w:u w:val="single"/>
          <w14:textFill>
            <w14:solidFill>
              <w14:schemeClr w14:val="tx1"/>
            </w14:solidFill>
          </w14:textFill>
        </w:rPr>
        <w:t xml:space="preserve">30%</w:t>
      </w:r>
      <w:r>
        <w:rPr>
          <w:rFonts w:hint="eastAsia" w:ascii="宋体" w:hAnsi="宋体" w:eastAsia="Arial" w:cs="宋体"/>
          <w:color w:val="000000" w:themeColor="text1"/>
          <w:sz w:val="24"/>
          <w:szCs w:val="20"/>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bookmarkEnd w:id="52"/>
      <w:r/>
      <w:bookmarkEnd w:id="53"/>
      <w:r/>
      <w:bookmarkEnd w:id="79"/>
      <w:r/>
      <w:bookmarkEnd w:id="80"/>
      <w:r/>
      <w:bookmarkEnd w:id="81"/>
      <w:r/>
      <w:bookmarkEnd w:id="82"/>
      <w:r/>
      <w:r/>
    </w:p>
    <w:p>
      <w:pPr>
        <w:rPr>
          <w:rFonts w:hint="eastAsia" w:ascii="黑体" w:hAnsi="黑体" w:eastAsia="黑体" w:cs="黑体"/>
          <w:color w:val="000000" w:themeColor="text1"/>
          <w:sz w:val="44"/>
          <w:szCs w:val="20"/>
          <w:highlight w:val="none"/>
          <w14:textFill>
            <w14:solidFill>
              <w14:schemeClr w14:val="tx1"/>
            </w14:solidFill>
          </w14:textFill>
        </w:rPr>
      </w:pPr>
      <w:r/>
      <w:bookmarkStart w:id="95" w:name="_Toc203060314"/>
      <w:r/>
      <w:bookmarkStart w:id="96" w:name="_Toc479757211"/>
      <w:r/>
      <w:bookmarkStart w:id="97" w:name="_Toc462564139"/>
      <w:r/>
      <w:bookmarkStart w:id="98" w:name="_Toc16938590"/>
      <w:r/>
      <w:bookmarkStart w:id="99" w:name="_Toc120614244"/>
      <w:r/>
      <w:bookmarkStart w:id="100" w:name="_Toc20823346"/>
      <w:r/>
      <w:bookmarkStart w:id="101" w:name="_Hlt16619369"/>
      <w:r/>
      <w:bookmarkStart w:id="102" w:name="_Hlt16619350"/>
      <w:r>
        <w:rPr>
          <w:rFonts w:hint="eastAsia" w:ascii="黑体" w:hAnsi="黑体" w:eastAsia="黑体" w:cs="黑体"/>
          <w:color w:val="000000" w:themeColor="text1"/>
          <w:sz w:val="44"/>
          <w:szCs w:val="20"/>
          <w:highlight w:val="none"/>
          <w14:textFill>
            <w14:solidFill>
              <w14:schemeClr w14:val="tx1"/>
            </w14:solidFill>
          </w14:textFill>
        </w:rPr>
        <w:br w:type="page" w:clear="all"/>
      </w:r>
      <w:r/>
    </w:p>
    <w:p>
      <w:pPr>
        <w:jc w:val="center"/>
        <w:spacing w:before="240" w:after="240"/>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第三章  合同</w:t>
      </w:r>
      <w:bookmarkEnd w:id="95"/>
      <w:r>
        <w:rPr>
          <w:rFonts w:hint="eastAsia" w:ascii="黑体" w:hAnsi="黑体" w:eastAsia="黑体" w:cs="黑体"/>
          <w:color w:val="000000" w:themeColor="text1"/>
          <w:sz w:val="44"/>
          <w:szCs w:val="20"/>
          <w:highlight w:val="none"/>
          <w14:textFill>
            <w14:solidFill>
              <w14:schemeClr w14:val="tx1"/>
            </w14:solidFill>
          </w14:textFill>
        </w:rPr>
        <w:t xml:space="preserve">文本</w:t>
      </w:r>
      <w:r/>
    </w:p>
    <w:p>
      <w:pPr>
        <w:pStyle w:val="827"/>
        <w:jc w:val="center"/>
        <w:spacing w:before="0" w:after="0" w:line="240" w:lineRule="auto"/>
        <w:rPr>
          <w:rFonts w:ascii="宋体" w:hAnsi="宋体" w:eastAsia="Arial" w:cs="宋体"/>
          <w:color w:val="000000" w:themeColor="text1"/>
          <w:sz w:val="24"/>
          <w:szCs w:val="20"/>
          <w:highlight w:val="none"/>
          <w14:textFill>
            <w14:solidFill>
              <w14:schemeClr w14:val="tx1"/>
            </w14:solidFill>
          </w14:textFill>
        </w:rPr>
      </w:pPr>
      <w:r/>
      <w:bookmarkStart w:id="103" w:name="_Toc513029243"/>
      <w:r/>
      <w:bookmarkStart w:id="104" w:name="_Toc20823315"/>
      <w:r/>
      <w:bookmarkStart w:id="105" w:name="_Toc16938559"/>
      <w:r/>
      <w:bookmarkStart w:id="106" w:name="OLE_LINK44"/>
      <w:r/>
      <w:bookmarkStart w:id="107" w:name="OLE_LINK45"/>
      <w:r/>
      <w:bookmarkStart w:id="108" w:name="OLE_LINK43"/>
      <w:r>
        <w:rPr>
          <w:rFonts w:hint="eastAsia" w:ascii="宋体" w:hAnsi="宋体" w:eastAsia="Arial" w:cs="宋体"/>
          <w:color w:val="000000" w:themeColor="text1"/>
          <w:sz w:val="24"/>
          <w:szCs w:val="20"/>
          <w:highlight w:val="none"/>
          <w14:textFill>
            <w14:solidFill>
              <w14:schemeClr w14:val="tx1"/>
            </w14:solidFill>
          </w14:textFill>
        </w:rPr>
        <w:t xml:space="preserve">以下为中标后签订本项目合同的通用条款，中标人不得提出实质性的修改。</w:t>
      </w:r>
      <w:bookmarkEnd w:id="103"/>
      <w:r/>
      <w:bookmarkEnd w:id="104"/>
      <w:r/>
      <w:bookmarkEnd w:id="105"/>
      <w:r/>
      <w:r/>
    </w:p>
    <w:p>
      <w:pPr>
        <w:pStyle w:val="827"/>
        <w:jc w:val="center"/>
        <w:spacing w:before="0" w:after="0" w:line="240" w:lineRule="auto"/>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r>
      <w:r/>
    </w:p>
    <w:p>
      <w:pPr>
        <w:pStyle w:val="827"/>
        <w:jc w:val="center"/>
        <w:spacing w:before="0" w:after="0" w:line="240" w:lineRule="auto"/>
        <w:rPr>
          <w:rFonts w:hint="eastAsia" w:ascii="方正小标宋_GBK" w:eastAsia="方正小标宋_GBK" w:hAnsiTheme="minorEastAsia"/>
          <w:bCs/>
          <w:color w:val="000000" w:themeColor="text1"/>
          <w:highlight w:val="none"/>
          <w14:textFill>
            <w14:solidFill>
              <w14:schemeClr w14:val="tx1"/>
            </w14:solidFill>
          </w14:textFill>
        </w:rPr>
      </w:pPr>
      <w:r>
        <w:rPr>
          <w:rFonts w:hint="eastAsia" w:ascii="方正小标宋_GBK" w:eastAsia="方正小标宋_GBK" w:cs="宋体" w:hAnsiTheme="minorEastAsia"/>
          <w:bCs/>
          <w:color w:val="000000" w:themeColor="text1"/>
          <w:highlight w:val="none"/>
          <w14:textFill>
            <w14:solidFill>
              <w14:schemeClr w14:val="tx1"/>
            </w14:solidFill>
          </w14:textFill>
        </w:rPr>
        <w:t xml:space="preserve">盐城市政府采购合同（合同编号）</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项目名称：</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盐城市公安局互联网信息处置平台（二期）项目</w:t>
      </w:r>
      <w:r/>
    </w:p>
    <w:p>
      <w:pPr>
        <w:ind w:firstLine="482"/>
        <w:jc w:val="left"/>
        <w:spacing w:line="560" w:lineRule="exact"/>
        <w:widowControl/>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项目编号：</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JSZC-320900-JZCG-G2025-0078</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甲方：（买方）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乙方：（卖方）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甲、乙双方根据盐城市政府采购中心</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盐城市公安局互联网信息处置平台（二期）项目</w:t>
      </w:r>
      <w:r>
        <w:rPr>
          <w:rFonts w:hint="eastAsia" w:ascii="宋体" w:hAnsi="宋体" w:eastAsia="Arial" w:cs="宋体"/>
          <w:color w:val="000000" w:themeColor="text1"/>
          <w:sz w:val="24"/>
          <w:szCs w:val="20"/>
          <w:highlight w:val="none"/>
          <w14:textFill>
            <w14:solidFill>
              <w14:schemeClr w14:val="tx1"/>
            </w14:solidFill>
          </w14:textFill>
        </w:rPr>
        <w:t xml:space="preserve">公开招标的结果，签署本合同。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一、合同内容</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 标的名称：</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盐城市公安局互联网信息处置平台（二期）项目</w:t>
      </w:r>
      <w:r/>
    </w:p>
    <w:p>
      <w:pPr>
        <w:ind w:firstLine="482"/>
        <w:jc w:val="left"/>
        <w:spacing w:line="560" w:lineRule="exact"/>
        <w:widowControl/>
        <w:rPr>
          <w:rFonts w:hint="eastAsia" w:ascii="宋体" w:hAnsi="宋体" w:eastAsia="宋体" w:cs="宋体"/>
          <w:color w:val="000000" w:themeColor="text1"/>
          <w:sz w:val="24"/>
          <w:szCs w:val="20"/>
          <w:highlight w:val="none"/>
          <w:u w:val="singl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1.2标的质量：</w:t>
      </w:r>
      <w:r>
        <w:rPr>
          <w:rFonts w:hint="eastAsia" w:ascii="宋体" w:hAnsi="宋体" w:eastAsia="宋体" w:cs="宋体"/>
          <w:color w:val="000000" w:themeColor="text1"/>
          <w:sz w:val="24"/>
          <w:szCs w:val="20"/>
          <w:highlight w:val="none"/>
          <w:u w:val="single"/>
          <w14:textFill>
            <w14:solidFill>
              <w14:schemeClr w14:val="tx1"/>
            </w14:solidFill>
          </w14:textFill>
        </w:rPr>
        <w:t xml:space="preserve">详见采购需求</w:t>
      </w:r>
      <w:r/>
    </w:p>
    <w:p>
      <w:pPr>
        <w:ind w:firstLine="482"/>
        <w:jc w:val="left"/>
        <w:spacing w:line="560" w:lineRule="exact"/>
        <w:widowControl/>
        <w:rPr>
          <w:rFonts w:hint="eastAsia" w:ascii="宋体" w:hAnsi="宋体" w:eastAsia="宋体" w:cs="宋体"/>
          <w:color w:val="000000" w:themeColor="text1"/>
          <w:sz w:val="24"/>
          <w:szCs w:val="20"/>
          <w:highlight w:val="none"/>
          <w:u w:val="singl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 标的数量（规模）：</w:t>
      </w:r>
      <w:r>
        <w:rPr>
          <w:rFonts w:hint="eastAsia" w:ascii="宋体" w:hAnsi="宋体" w:eastAsia="宋体" w:cs="宋体"/>
          <w:color w:val="000000" w:themeColor="text1"/>
          <w:sz w:val="24"/>
          <w:szCs w:val="20"/>
          <w:highlight w:val="none"/>
          <w:u w:val="single"/>
          <w14:textFill>
            <w14:solidFill>
              <w14:schemeClr w14:val="tx1"/>
            </w14:solidFill>
          </w14:textFill>
        </w:rPr>
        <w:t xml:space="preserve">详见采购需求</w:t>
      </w:r>
      <w:r/>
    </w:p>
    <w:p>
      <w:pPr>
        <w:ind w:firstLine="482"/>
        <w:jc w:val="left"/>
        <w:spacing w:line="560" w:lineRule="exact"/>
        <w:widowControl/>
        <w:rPr>
          <w:rFonts w:hint="eastAsia" w:ascii="宋体" w:hAnsi="宋体" w:cs="宋体" w:eastAsiaTheme="minorEastAsia"/>
          <w:color w:val="000000" w:themeColor="text1"/>
          <w:sz w:val="24"/>
          <w:szCs w:val="20"/>
          <w:highlight w:val="none"/>
          <w:u w:val="singl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 履行时间（期限）</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合同签订后90天交付。自验收合格之日起，3年免费维保期。</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1.5 履行地点：</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盐城市公安局</w:t>
      </w:r>
      <w:r>
        <w:rPr>
          <w:rFonts w:hint="eastAsia" w:ascii="宋体" w:hAnsi="宋体" w:eastAsia="Arial" w:cs="宋体"/>
          <w:color w:val="000000" w:themeColor="text1"/>
          <w:sz w:val="24"/>
          <w:szCs w:val="20"/>
          <w:highlight w:val="none"/>
          <w:u w:val="single"/>
          <w14:textFill>
            <w14:solidFill>
              <w14:schemeClr w14:val="tx1"/>
            </w14:solidFill>
          </w14:textFill>
        </w:rPr>
        <w:t xml:space="preserve">指定地点</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1.6履行方式：</w:t>
      </w:r>
      <w:r>
        <w:rPr>
          <w:rFonts w:hint="eastAsia" w:ascii="宋体" w:hAnsi="宋体" w:eastAsia="宋体" w:cs="宋体"/>
          <w:color w:val="000000" w:themeColor="text1"/>
          <w:sz w:val="24"/>
          <w:szCs w:val="20"/>
          <w:highlight w:val="none"/>
          <w:u w:val="single"/>
          <w14:textFill>
            <w14:solidFill>
              <w14:schemeClr w14:val="tx1"/>
            </w14:solidFill>
          </w14:textFill>
        </w:rPr>
        <w:t xml:space="preserve">按甲方指定方式</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二、合同金额</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2.1本合同金额为（大写）：</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圆（_______________元）人民币或其他币种。</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三、技术资料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3.1乙方应按招标文件规定的时间向甲方提供服务（包含与服务相关的货物）的有关技术资料。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四、知识产权</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五、产权担保</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六、履约保证金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6.1乙方交纳人民币</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元作为本合同的履约保证金。</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备注：履约保证金金额为合同金额的10%，采购人应当对AA评级及以上政府采购供应商（需提供信用管理部门备案的第三方信用报告）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000000" w:themeColor="text1"/>
          <w:sz w:val="24"/>
          <w:szCs w:val="20"/>
          <w:highlight w:val="none"/>
          <w14:textFill>
            <w14:solidFill>
              <w14:schemeClr w14:val="tx1"/>
            </w14:solidFill>
          </w14:textFill>
        </w:rPr>
        <w:t xml:space="preserve">免收履约保证金</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6.2确需收取履约保证金的，履约保证金的缴纳形式：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6.3合同履行结束后，甲方应及时退还交纳的履约保证金。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6.4履约保证金的退还：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6.4.1方式：退还至乙方缴纳履约保证金的账户。如为保函，在到期时自行失效。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6.4.2时间：验收合格且甲方收到发票后30日内。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6.4.3条件：按合同要求全部履约完成并经甲方验收合格，且甲方收到乙方出具的发票。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6.4.4不予退还情形：</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（2）乙方不履行与采购人订立的合同的；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（3）乙方所供货物或服务不符合招标文件规定要求的；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（4）乙方采取欺骗、弄虚作假方式投标的或与</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其他</w:t>
      </w:r>
      <w:r>
        <w:rPr>
          <w:rFonts w:hint="eastAsia" w:ascii="宋体" w:hAnsi="宋体" w:eastAsia="Arial" w:cs="宋体"/>
          <w:color w:val="000000" w:themeColor="text1"/>
          <w:sz w:val="24"/>
          <w:szCs w:val="20"/>
          <w:highlight w:val="none"/>
          <w14:textFill>
            <w14:solidFill>
              <w14:schemeClr w14:val="tx1"/>
            </w14:solidFill>
          </w14:textFill>
        </w:rPr>
        <w:t xml:space="preserve">投标人串通投标的；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（5）乙方将合同内容转包、违法分包的；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（6）乙方故意捏造事实或伪造证明材料，进行虚假恶意投诉或反映的。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七、合同转包或分包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7.1乙方不得将合同标的转包给他人履行。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7.2乙方不得将合同标的分包给他人履行。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或7.2乙方应当按照投标文件中提供的分包意向协议履行合同。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7.3乙方如有转包或未经甲方同意的分包行为，甲方有权解除合同。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八、合同款项支付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8.1合同款项的支付方式及进度安排</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8.1.1 预付款支付时间：</w:t>
      </w:r>
      <w:r>
        <w:rPr>
          <w:rFonts w:hint="eastAsia" w:ascii="宋体" w:hAnsi="宋体" w:eastAsia="Arial" w:cs="宋体"/>
          <w:color w:val="auto"/>
          <w:sz w:val="24"/>
          <w:szCs w:val="20"/>
          <w:highlight w:val="none"/>
        </w:rPr>
        <w:t xml:space="preserve">合同签订后，甲方收到预付款发票后10个工作日内，预付款支付比例：合同金额的30%。</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8.1.2 尾款支付时间：</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项目全部建设内容完成，试运行3个月，终验合格后付至合同价款的70%，审计完成后支付至审计金额的95%，服务期满后</w:t>
      </w:r>
      <w:r>
        <w:rPr>
          <w:rFonts w:hint="eastAsia" w:ascii="宋体" w:hAnsi="宋体" w:eastAsia="宋体" w:cs="宋体"/>
          <w:color w:val="000000" w:themeColor="text1"/>
          <w:sz w:val="24"/>
          <w:szCs w:val="20"/>
          <w:highlight w:val="none"/>
          <w:lang w:val="zh-CN" w:eastAsia="zh-CN" w:bidi="ar-SA"/>
          <w14:textFill>
            <w14:solidFill>
              <w14:schemeClr w14:val="tx1"/>
            </w14:solidFill>
          </w14:textFill>
        </w:rPr>
        <w:t xml:space="preserve">一次性付清</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。对于满足合同约定支付条件的，甲方收到乙方开具的正式发票后10个工作日内，将资金支付至合同约定的乙方账户。</w:t>
      </w:r>
      <w:r/>
    </w:p>
    <w:p>
      <w:pPr>
        <w:ind w:firstLine="482"/>
        <w:jc w:val="left"/>
        <w:spacing w:line="560" w:lineRule="exact"/>
        <w:widowControl/>
        <w:tabs>
          <w:tab w:val="left" w:pos="2730" w:leader="none"/>
        </w:tabs>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九、税费</w:t>
      </w:r>
      <w:r>
        <w:rPr>
          <w:rFonts w:hint="eastAsia" w:ascii="宋体" w:hAnsi="宋体" w:eastAsia="宋体" w:cs="宋体"/>
          <w:b/>
          <w:bCs/>
          <w:color w:val="000000" w:themeColor="text1"/>
          <w:sz w:val="24"/>
          <w:szCs w:val="20"/>
          <w:highlight w:val="none"/>
          <w14:textFill>
            <w14:solidFill>
              <w14:schemeClr w14:val="tx1"/>
            </w14:solidFill>
          </w14:textFill>
        </w:rPr>
        <w:tab/>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9.1本合同执行中相关的一切税费均由乙方负担。</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十、项目验收</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10.1甲方依法组织履约验收工作。</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10.3对于实际使用人和甲方分离的项目，甲方邀请实际使用人参与验收。</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bookmarkEnd w:id="106"/>
      <w:r/>
      <w:bookmarkEnd w:id="107"/>
      <w:r/>
      <w:bookmarkEnd w:id="108"/>
      <w:r/>
      <w:r/>
    </w:p>
    <w:p>
      <w:pPr>
        <w:ind w:firstLine="482"/>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安全要求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eastAsia="Arial" w:cs="宋体"/>
          <w:color w:val="000000" w:themeColor="text1"/>
          <w:sz w:val="24"/>
          <w:szCs w:val="20"/>
          <w:highlight w:val="none"/>
          <w:lang w:val="zh-CN"/>
          <w14:textFill>
            <w14:solidFill>
              <w14:schemeClr w14:val="tx1"/>
            </w14:solidFill>
          </w14:textFill>
        </w:rPr>
        <w:t xml:space="preserve">.1保密安全要求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乙方在信息化建设过程中，应配合甲方，落实如下安全保密要求。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（1）明确合作事项的安全保密责任人；</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（2）对参与人员提出与合作事项有关的安全保密要求；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（3）及时清除离职、离岗或者不再参与公安信息化建设的员工持有的甲方文档资料、数据等内容；</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（4）对本单位参与公安信息化建设安全保密责任落实情况进行年度评估，并向甲方提交评估报告；</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（5）在得知提供的产品、服务存在安全漏洞或者危害信息系统安全的潜在风险时，须第一时间报告甲方，并及时启动应急预案，提出解决方案；</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（6）乙方及其工作人员严禁未经批准翻阅、复印、拍摄甲方内部文件，或者将甲方内部文件带离指定办公场所或者区域；</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（7）其他应当遵守的安全保密要求。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eastAsia="Arial" w:cs="宋体"/>
          <w:color w:val="000000" w:themeColor="text1"/>
          <w:sz w:val="24"/>
          <w:szCs w:val="20"/>
          <w:highlight w:val="none"/>
          <w:lang w:val="zh-CN"/>
          <w14:textFill>
            <w14:solidFill>
              <w14:schemeClr w14:val="tx1"/>
            </w14:solidFill>
          </w14:textFill>
        </w:rPr>
        <w:t xml:space="preserve">.2数据安全要求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乙方及其工作人员在信息化建设过程中不得从事下列危害甲方数据安全的行为。</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（1）违规下载、留存、使用公安内部数据；</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（2）算改、毁损、泄露、出售公安内部数据；</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（3）向境外机构和人员提供公安重要数据；</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（4）在互联网上存储、处理、传输公安内部数据和应用系统源代码；</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（5）使用未经过脱敏的公安敏感数据在互联网上进行开发；</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（6）将公安数据用于商业用途；</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（7）其他危害数据安全的行为。</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eastAsia="Arial" w:cs="宋体"/>
          <w:color w:val="000000" w:themeColor="text1"/>
          <w:sz w:val="24"/>
          <w:szCs w:val="20"/>
          <w:highlight w:val="none"/>
          <w:lang w:val="zh-CN"/>
          <w14:textFill>
            <w14:solidFill>
              <w14:schemeClr w14:val="tx1"/>
            </w14:solidFill>
          </w14:textFill>
        </w:rPr>
        <w:t xml:space="preserve">.3网络应用安全要求</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乙方及其工作人员不得从事下列危害甲方网络和应用安全的行为。</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（1）违规将公安网络与任何外部网络连接；</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（2）擅自扫描、探测、入侵公安网络及应用系统；</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（3）设置应用系统后门、木马、病毒等恶意程序；</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（4）擅自将参与单位及参与人员的终端、移动存储介质、无线设备等与公安网络连接；</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（5）擅自建立跨网、跨域数据传输或者运维通道；</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（6）拆除、破坏公安监管设施或者卸载监管程序；</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（7）擅自对公安应用源文件、应用源代码进行反编译、加密、解密；</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（8）擅自公开与合作事项相关的技术实现方法或者业务模型等重要信息；</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（9）其他危害公安网络和应用安全的行为。</w:t>
      </w:r>
      <w:r/>
    </w:p>
    <w:p>
      <w:pPr>
        <w:ind w:firstLine="482"/>
        <w:jc w:val="left"/>
        <w:spacing w:line="56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w:t>
      </w:r>
      <w:r>
        <w:rPr>
          <w:rFonts w:hint="eastAsia" w:ascii="宋体" w:hAnsi="宋体" w:eastAsia="Arial" w:cs="宋体"/>
          <w:b/>
          <w:bCs/>
          <w:color w:val="000000" w:themeColor="text1"/>
          <w:sz w:val="24"/>
          <w:szCs w:val="20"/>
          <w:highlight w:val="none"/>
          <w:lang w:val="en-US" w:eastAsia="zh-CN"/>
          <w14:textFill>
            <w14:solidFill>
              <w14:schemeClr w14:val="tx1"/>
            </w14:solidFill>
          </w14:textFill>
        </w:rPr>
        <w:t xml:space="preserve">二</w:t>
      </w: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、违约责任</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eastAsia="Arial" w:cs="宋体"/>
          <w:color w:val="000000" w:themeColor="text1"/>
          <w:sz w:val="24"/>
          <w:szCs w:val="20"/>
          <w:highlight w:val="none"/>
          <w:lang w:val="zh-CN"/>
          <w14:textFill>
            <w14:solidFill>
              <w14:schemeClr w14:val="tx1"/>
            </w14:solidFill>
          </w14:textFill>
        </w:rPr>
        <w:t xml:space="preserve">.1甲方无正当理由拒收的，甲方向乙方偿付拒收货款总值的百分之五违约金。</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eastAsia="Arial" w:cs="宋体"/>
          <w:color w:val="000000" w:themeColor="text1"/>
          <w:sz w:val="24"/>
          <w:szCs w:val="20"/>
          <w:highlight w:val="none"/>
          <w:lang w:val="zh-CN"/>
          <w14:textFill>
            <w14:solidFill>
              <w14:schemeClr w14:val="tx1"/>
            </w14:solidFill>
          </w14:textFill>
        </w:rPr>
        <w:t xml:space="preserve">.2甲方无故逾期验收和办理货款支付手续的，甲方应按逾期付款总额每日万分之五向乙方支付违约金。</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12</w:t>
      </w:r>
      <w:r>
        <w:rPr>
          <w:rFonts w:hint="eastAsia" w:ascii="宋体" w:hAnsi="宋体" w:eastAsia="Arial" w:cs="宋体"/>
          <w:color w:val="000000" w:themeColor="text1"/>
          <w:sz w:val="24"/>
          <w:szCs w:val="20"/>
          <w:highlight w:val="none"/>
          <w:lang w:val="zh-CN"/>
          <w14:textFill>
            <w14:solidFill>
              <w14:schemeClr w14:val="tx1"/>
            </w14:solidFill>
          </w14:textFill>
        </w:rPr>
        <w:t xml:space="preserve">.3乙方逾期交付</w:t>
      </w:r>
      <w:r>
        <w:rPr>
          <w:rFonts w:hint="eastAsia" w:ascii="宋体" w:hAnsi="宋体" w:eastAsia="Arial" w:cs="宋体"/>
          <w:color w:val="000000" w:themeColor="text1"/>
          <w:sz w:val="24"/>
          <w:szCs w:val="20"/>
          <w:highlight w:val="none"/>
          <w14:textFill>
            <w14:solidFill>
              <w14:schemeClr w14:val="tx1"/>
            </w14:solidFill>
          </w14:textFill>
        </w:rPr>
        <w:t xml:space="preserve">合同标的</w:t>
      </w:r>
      <w:r>
        <w:rPr>
          <w:rFonts w:hint="eastAsia" w:ascii="宋体" w:hAnsi="宋体" w:eastAsia="Arial" w:cs="宋体"/>
          <w:color w:val="000000" w:themeColor="text1"/>
          <w:sz w:val="24"/>
          <w:szCs w:val="20"/>
          <w:highlight w:val="none"/>
          <w:lang w:val="zh-CN"/>
          <w14:textFill>
            <w14:solidFill>
              <w14:schemeClr w14:val="tx1"/>
            </w14:solidFill>
          </w14:textFill>
        </w:rPr>
        <w:t xml:space="preserve">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2"/>
        <w:jc w:val="left"/>
        <w:spacing w:line="560" w:lineRule="exact"/>
        <w:widowControl/>
        <w:rPr>
          <w:rFonts w:hint="eastAsia" w:ascii="宋体" w:hAnsi="宋体" w:eastAsia="宋体" w:cs="宋体"/>
          <w:color w:val="000000" w:themeColor="text1"/>
          <w:sz w:val="24"/>
          <w:szCs w:val="20"/>
          <w:highlight w:val="none"/>
          <w:lang w:val="zh-CN"/>
          <w14:textFill>
            <w14:solidFill>
              <w14:schemeClr w14:val="tx1"/>
            </w14:solidFill>
          </w14:textFill>
        </w:rPr>
      </w:pPr>
      <w:r>
        <w:rPr>
          <w:rFonts w:hint="eastAsia" w:ascii="宋体" w:hAnsi="宋体" w:eastAsia="宋体" w:cs="宋体"/>
          <w:color w:val="000000" w:themeColor="text1"/>
          <w:sz w:val="24"/>
          <w:szCs w:val="20"/>
          <w:highlight w:val="none"/>
          <w:lang w:val="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0"/>
          <w:highlight w:val="none"/>
          <w:lang w:val="zh-CN"/>
          <w14:textFill>
            <w14:solidFill>
              <w14:schemeClr w14:val="tx1"/>
            </w14:solidFill>
          </w14:textFill>
        </w:rPr>
        <w:t xml:space="preserve">.4乙方所交的</w:t>
      </w:r>
      <w:r>
        <w:rPr>
          <w:rFonts w:hint="eastAsia" w:ascii="宋体" w:hAnsi="宋体" w:eastAsia="宋体" w:cs="宋体"/>
          <w:color w:val="000000" w:themeColor="text1"/>
          <w:sz w:val="24"/>
          <w:szCs w:val="20"/>
          <w:highlight w:val="none"/>
          <w14:textFill>
            <w14:solidFill>
              <w14:schemeClr w14:val="tx1"/>
            </w14:solidFill>
          </w14:textFill>
        </w:rPr>
        <w:t xml:space="preserve">服务</w:t>
      </w:r>
      <w:r>
        <w:rPr>
          <w:rFonts w:hint="eastAsia" w:ascii="宋体" w:hAnsi="宋体" w:eastAsia="宋体" w:cs="宋体"/>
          <w:color w:val="000000" w:themeColor="text1"/>
          <w:sz w:val="24"/>
          <w:szCs w:val="20"/>
          <w:highlight w:val="none"/>
          <w:lang w:val="zh-CN"/>
          <w14:textFill>
            <w14:solidFill>
              <w14:schemeClr w14:val="tx1"/>
            </w14:solidFill>
          </w14:textFill>
        </w:rPr>
        <w:t xml:space="preserve">不符合</w:t>
      </w:r>
      <w:r>
        <w:rPr>
          <w:rFonts w:hint="eastAsia" w:ascii="宋体" w:hAnsi="宋体" w:eastAsia="宋体" w:cs="宋体"/>
          <w:color w:val="000000" w:themeColor="text1"/>
          <w:sz w:val="24"/>
          <w:szCs w:val="20"/>
          <w:highlight w:val="none"/>
          <w14:textFill>
            <w14:solidFill>
              <w14:schemeClr w14:val="tx1"/>
            </w14:solidFill>
          </w14:textFill>
        </w:rPr>
        <w:t xml:space="preserve">项目需求要求</w:t>
      </w:r>
      <w:r>
        <w:rPr>
          <w:rFonts w:hint="eastAsia" w:ascii="宋体" w:hAnsi="宋体" w:eastAsia="宋体" w:cs="宋体"/>
          <w:color w:val="000000" w:themeColor="text1"/>
          <w:sz w:val="24"/>
          <w:szCs w:val="20"/>
          <w:highlight w:val="none"/>
          <w:lang w:val="zh-CN"/>
          <w14:textFill>
            <w14:solidFill>
              <w14:schemeClr w14:val="tx1"/>
            </w14:solidFill>
          </w14:textFill>
        </w:rPr>
        <w:t xml:space="preserve">的、</w:t>
      </w:r>
      <w:r>
        <w:rPr>
          <w:rFonts w:hint="eastAsia" w:ascii="宋体" w:hAnsi="宋体" w:eastAsia="宋体" w:cs="宋体"/>
          <w:color w:val="000000" w:themeColor="text1"/>
          <w:sz w:val="24"/>
          <w:szCs w:val="20"/>
          <w:highlight w:val="none"/>
          <w14:textFill>
            <w14:solidFill>
              <w14:schemeClr w14:val="tx1"/>
            </w14:solidFill>
          </w14:textFill>
        </w:rPr>
        <w:t xml:space="preserve">乙方响应文件承诺及国家有关质量标准的，</w:t>
      </w:r>
      <w:r>
        <w:rPr>
          <w:rFonts w:hint="eastAsia" w:ascii="宋体" w:hAnsi="宋体" w:eastAsia="宋体" w:cs="宋体"/>
          <w:color w:val="000000" w:themeColor="text1"/>
          <w:sz w:val="24"/>
          <w:szCs w:val="20"/>
          <w:highlight w:val="none"/>
          <w:lang w:val="zh-CN"/>
          <w14:textFill>
            <w14:solidFill>
              <w14:schemeClr w14:val="tx1"/>
            </w14:solidFill>
          </w14:textFill>
        </w:rPr>
        <w:t xml:space="preserve">甲方有权拒收，乙方愿意更换但逾期交</w:t>
      </w:r>
      <w:r>
        <w:rPr>
          <w:rFonts w:hint="eastAsia" w:ascii="宋体" w:hAnsi="宋体" w:eastAsia="宋体" w:cs="宋体"/>
          <w:color w:val="000000" w:themeColor="text1"/>
          <w:sz w:val="24"/>
          <w:szCs w:val="20"/>
          <w:highlight w:val="none"/>
          <w14:textFill>
            <w14:solidFill>
              <w14:schemeClr w14:val="tx1"/>
            </w14:solidFill>
          </w14:textFill>
        </w:rPr>
        <w:t xml:space="preserve">付</w:t>
      </w:r>
      <w:r>
        <w:rPr>
          <w:rFonts w:hint="eastAsia" w:ascii="宋体" w:hAnsi="宋体" w:eastAsia="宋体" w:cs="宋体"/>
          <w:color w:val="000000" w:themeColor="text1"/>
          <w:sz w:val="24"/>
          <w:szCs w:val="20"/>
          <w:highlight w:val="none"/>
          <w:lang w:val="zh-CN"/>
          <w14:textFill>
            <w14:solidFill>
              <w14:schemeClr w14:val="tx1"/>
            </w14:solidFill>
          </w14:textFill>
        </w:rPr>
        <w:t xml:space="preserve">的，按乙方逾期交</w:t>
      </w:r>
      <w:r>
        <w:rPr>
          <w:rFonts w:hint="eastAsia" w:ascii="宋体" w:hAnsi="宋体" w:eastAsia="宋体" w:cs="宋体"/>
          <w:color w:val="000000" w:themeColor="text1"/>
          <w:sz w:val="24"/>
          <w:szCs w:val="20"/>
          <w:highlight w:val="none"/>
          <w14:textFill>
            <w14:solidFill>
              <w14:schemeClr w14:val="tx1"/>
            </w14:solidFill>
          </w14:textFill>
        </w:rPr>
        <w:t xml:space="preserve">付</w:t>
      </w:r>
      <w:r>
        <w:rPr>
          <w:rFonts w:hint="eastAsia" w:ascii="宋体" w:hAnsi="宋体" w:eastAsia="宋体" w:cs="宋体"/>
          <w:color w:val="000000" w:themeColor="text1"/>
          <w:sz w:val="24"/>
          <w:szCs w:val="20"/>
          <w:highlight w:val="none"/>
          <w:lang w:val="zh-CN"/>
          <w14:textFill>
            <w14:solidFill>
              <w14:schemeClr w14:val="tx1"/>
            </w14:solidFill>
          </w14:textFill>
        </w:rPr>
        <w:t xml:space="preserve">处理。乙方拒绝更换的，甲方可单方面解除合同，</w:t>
      </w:r>
      <w:r>
        <w:rPr>
          <w:rFonts w:hint="eastAsia" w:ascii="宋体" w:hAnsi="宋体" w:eastAsia="宋体" w:cs="宋体"/>
          <w:color w:val="000000" w:themeColor="text1"/>
          <w:sz w:val="24"/>
          <w:szCs w:val="20"/>
          <w:highlight w:val="none"/>
          <w14:textFill>
            <w14:solidFill>
              <w14:schemeClr w14:val="tx1"/>
            </w14:solidFill>
          </w14:textFill>
        </w:rPr>
        <w:t xml:space="preserve">并由乙方赔偿由此造成的甲方全部损失</w:t>
      </w:r>
      <w:r>
        <w:rPr>
          <w:rFonts w:hint="eastAsia" w:ascii="宋体" w:hAnsi="宋体" w:eastAsia="宋体" w:cs="宋体"/>
          <w:color w:val="000000" w:themeColor="text1"/>
          <w:sz w:val="24"/>
          <w:szCs w:val="20"/>
          <w:highlight w:val="none"/>
          <w:lang w:val="zh-CN"/>
          <w14:textFill>
            <w14:solidFill>
              <w14:schemeClr w14:val="tx1"/>
            </w14:solidFill>
          </w14:textFill>
        </w:rPr>
        <w:t xml:space="preserve">。</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ind w:firstLine="482"/>
        <w:jc w:val="left"/>
        <w:spacing w:line="560" w:lineRule="exact"/>
        <w:widowControl/>
        <w:rPr>
          <w:rFonts w:hint="eastAsia" w:ascii="宋体" w:hAnsi="宋体" w:eastAsia="宋体" w:cs="宋体"/>
          <w:color w:val="000000" w:themeColor="text1"/>
          <w:sz w:val="24"/>
          <w:szCs w:val="20"/>
          <w:highlight w:val="none"/>
          <w:lang w:val="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ind w:firstLine="482"/>
        <w:spacing w:line="500" w:lineRule="exact"/>
        <w:rPr>
          <w:rFonts w:hint="eastAsia" w:ascii="宋体" w:hAnsi="宋体"/>
          <w:b/>
          <w:color w:val="000000" w:themeColor="text1"/>
          <w:sz w:val="24"/>
          <w:highlight w:val="none"/>
          <w:lang w:val="zh-CN"/>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 xml:space="preserve">十</w:t>
      </w:r>
      <w:r>
        <w:rPr>
          <w:rFonts w:hint="eastAsia" w:ascii="宋体" w:hAnsi="宋体"/>
          <w:b/>
          <w:color w:val="000000" w:themeColor="text1"/>
          <w:sz w:val="24"/>
          <w:highlight w:val="none"/>
          <w:lang w:val="en-US" w:eastAsia="zh-CN"/>
          <w14:textFill>
            <w14:solidFill>
              <w14:schemeClr w14:val="tx1"/>
            </w14:solidFill>
          </w14:textFill>
        </w:rPr>
        <w:t xml:space="preserve">三</w:t>
      </w:r>
      <w:r>
        <w:rPr>
          <w:rFonts w:hint="eastAsia" w:ascii="宋体" w:hAnsi="宋体"/>
          <w:b/>
          <w:color w:val="000000" w:themeColor="text1"/>
          <w:sz w:val="24"/>
          <w:highlight w:val="none"/>
          <w:lang w:val="zh-CN"/>
          <w14:textFill>
            <w14:solidFill>
              <w14:schemeClr w14:val="tx1"/>
            </w14:solidFill>
          </w14:textFill>
        </w:rPr>
        <w:t xml:space="preserve">、不可抗力事件处理</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.2不可抗力事件发生后，应立即通知对方，并寄送有关权威机构出具的证明。</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.3不可抗力事件延续120天以上，双方应通过友好协商，确定是否继续履行合同。</w:t>
      </w:r>
      <w:r/>
    </w:p>
    <w:p>
      <w:pPr>
        <w:ind w:firstLine="482"/>
        <w:jc w:val="left"/>
        <w:spacing w:line="560" w:lineRule="exact"/>
        <w:widowControl/>
        <w:rPr>
          <w:rFonts w:hint="eastAsia" w:ascii="宋体" w:hAnsi="宋体" w:eastAsia="宋体" w:cs="宋体"/>
          <w:b/>
          <w:bCs/>
          <w:color w:val="000000" w:themeColor="text1"/>
          <w:sz w:val="24"/>
          <w:szCs w:val="20"/>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十</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、诉讼</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.1双方在执行合同中所发生的一切争议，应通过协商解决。如协商不成，可向合同签订地法院起诉，合同签订地在此约定为盐城市。</w:t>
      </w:r>
      <w:r/>
    </w:p>
    <w:p>
      <w:pPr>
        <w:ind w:firstLine="482"/>
        <w:jc w:val="left"/>
        <w:spacing w:line="560" w:lineRule="exact"/>
        <w:widowControl/>
        <w:rPr>
          <w:rFonts w:hint="eastAsia" w:ascii="宋体" w:hAnsi="宋体" w:eastAsia="宋体" w:cs="宋体"/>
          <w:b/>
          <w:bCs/>
          <w:color w:val="000000" w:themeColor="text1"/>
          <w:sz w:val="24"/>
          <w:szCs w:val="20"/>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十</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、合同生效及其它</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.1合同经双方法定代表人或授权委托代表人签字并加盖单位公章后生效。</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.2本合同未尽事宜，遵照《中华人民共和国民法典》有关条文执行。</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.3本合同正本一式四份，具有同等法律效力，甲方、乙方各执两份。</w:t>
      </w:r>
      <w:r/>
    </w:p>
    <w:p>
      <w:pPr>
        <w:ind w:firstLine="789"/>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甲 方：                                乙 方：</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地 址：                                 地 址：</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法定代表人或授权代表：                  法定代表人或授权代表：</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电 话：                                 电 话：</w:t>
      </w:r>
      <w:r/>
    </w:p>
    <w:p>
      <w:pPr>
        <w:ind w:firstLine="482"/>
        <w:jc w:val="center"/>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日 期：      年  月  日</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合同附件</w:t>
      </w:r>
      <w:r>
        <w:rPr>
          <w:rFonts w:hint="eastAsia" w:ascii="宋体" w:hAnsi="宋体" w:cs="宋体"/>
          <w:color w:val="000000" w:themeColor="text1"/>
          <w:sz w:val="24"/>
          <w:szCs w:val="24"/>
          <w:highlight w:val="none"/>
          <w14:textFill>
            <w14:solidFill>
              <w14:schemeClr w14:val="tx1"/>
            </w14:solidFill>
          </w14:textFill>
        </w:rPr>
        <w:t xml:space="preserve">：</w:t>
      </w:r>
      <w:r/>
    </w:p>
    <w:p>
      <w:pPr>
        <w:jc w:val="center"/>
        <w:spacing w:line="54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项目建设供应商承诺函</w:t>
      </w:r>
      <w:r/>
    </w:p>
    <w:p>
      <w:pPr>
        <w:spacing w:line="54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对未列出的其他事项，严格按照法律法规等具体规定执行。</w:t>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现承诺，我单位在履行</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项目名称  ）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的项目建设中，将严格按照提示函的内容和要求执行，如若违反愿意承担相应的责任。</w:t>
      </w:r>
      <w:r/>
    </w:p>
    <w:p>
      <w:pPr>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供应商项目负责人（签字）：            联系方式：</w:t>
      </w:r>
      <w:r/>
    </w:p>
    <w:p>
      <w:pPr>
        <w:pStyle w:val="809"/>
        <w:ind w:firstLine="5520"/>
        <w:spacing w:line="5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bookmarkStart w:id="109" w:name="_Toc203060316"/>
      <w:r>
        <w:rPr>
          <w:rFonts w:hint="eastAsia" w:ascii="黑体" w:hAnsi="黑体" w:eastAsia="黑体" w:cs="黑体"/>
          <w:color w:val="000000" w:themeColor="text1"/>
          <w:sz w:val="44"/>
          <w:szCs w:val="20"/>
          <w:highlight w:val="none"/>
          <w14:textFill>
            <w14:solidFill>
              <w14:schemeClr w14:val="tx1"/>
            </w14:solidFill>
          </w14:textFill>
        </w:rPr>
        <w:br w:type="page" w:clear="all"/>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w:t>
      </w:r>
      <w:bookmarkEnd w:id="96"/>
      <w:r>
        <w:rPr>
          <w:rFonts w:hint="eastAsia" w:ascii="黑体" w:hAnsi="黑体" w:eastAsia="黑体" w:cs="黑体"/>
          <w:color w:val="000000" w:themeColor="text1"/>
          <w:sz w:val="44"/>
          <w:szCs w:val="20"/>
          <w:highlight w:val="none"/>
          <w14:textFill>
            <w14:solidFill>
              <w14:schemeClr w14:val="tx1"/>
            </w14:solidFill>
          </w14:textFill>
        </w:rPr>
        <w:t xml:space="preserve">四章 采购需求</w:t>
      </w:r>
      <w:bookmarkEnd w:id="97"/>
      <w:r/>
      <w:bookmarkEnd w:id="98"/>
      <w:r/>
      <w:bookmarkEnd w:id="99"/>
      <w:r/>
      <w:bookmarkEnd w:id="100"/>
      <w:r/>
      <w:bookmarkEnd w:id="109"/>
      <w:r/>
      <w:bookmarkStart w:id="110" w:name="_Toc49090575"/>
      <w:r/>
      <w:bookmarkEnd w:id="110"/>
      <w:r/>
      <w:bookmarkStart w:id="111" w:name="_Toc26554093"/>
      <w:r/>
      <w:bookmarkEnd w:id="111"/>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项目属性：服务类项目</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bookmarkStart w:id="112" w:name="_Toc120614281"/>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一、项目建设总体方案</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1、建设原则</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本项目旨在提高公安机关互联网信息监测与管理水平，强化对社交媒体、短视频等网络平台的巡查，及时发现编造传播虚假警情险情、灾情疫情以及涉及社会民生、经济金融等领域的谣言信息，预警买卖公民个人信息、网络黄赌毒、网络黑灰产等违法犯罪线索，打击整治网络暴力、扰乱传播秩序、破坏网络生态等违法违规行为，持续净化网络空间，切实维护网上公共安全。</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本项目采用互联网、公安</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内部网络</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两网结构搭建，建设遵循如下基本原则：</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（1）实用性与可靠性原则</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系统建成后要满足公安部门实际要求，经过简单培训后可让用户较容易上手操作；保证系统运行稳定；有较强的防错、抗错能力；有较强的故障恢复和应急措施，保证监管过程不间断地正常运行。</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（2）</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化与</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灵活</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性原则</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系统采用模块化架构，开发的各项功能在后台通过独立模块实现，以便于后期能够将该平台作为子模块接入公安系统主平台</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（3）兼容性与经济性原则</w:t>
      </w:r>
      <w:r/>
    </w:p>
    <w:p>
      <w:pPr>
        <w:ind w:firstLine="482"/>
        <w:jc w:val="left"/>
        <w:spacing w:line="560" w:lineRule="exact"/>
        <w:widowControl/>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采用统一灵活的数据交换机制保证了应用系统之间能轻松的做到松耦合；通过系统封装了各种数据库的细节，保证了应用层基本不作改动即可兼容</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一期项目</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现有数据，尽量降低系统的成本造价，达到最好的性能/价格比。</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（4）可维护性与扩展性原则</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为了确保系统的可持续发展，系统应具有较强的可维护性和扩展性。当需要增加信息数据时，系统可以适应需求变化；系统能够方便地进行管理与维护，软、硬件的升级不影响正常运作，系统功能和结构可方便地扩展。</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（5）安全性与保密性原则</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为了防止非授权用户的非法入侵和授权用户的越权使用，系统应进行各种级别的权限控制，能够方便地控制不同级别的用户对不同数据的读写权限，并具备审核功能，自动记录用户访问的情况和操作过程，以备日后查询。</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（6）高性能与稳定性原则</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在系统设计、开发和应用时，应从系统结构、技术措施、软硬件平台、技术服务和维护响应能力等方面综合考虑，确保系统性能较高，如在网络环境下对综合服务的多用户并发操作要具有较高的稳定性和响应速度，综合考虑确保系统应用中最低的故障率，确保系统的稳定性。</w:t>
      </w:r>
      <w:r/>
    </w:p>
    <w:p>
      <w:pPr>
        <w:ind w:firstLine="482"/>
        <w:jc w:val="left"/>
        <w:spacing w:line="560" w:lineRule="exact"/>
        <w:widowControl/>
        <w:rPr>
          <w:rFonts w:ascii="Arial" w:hAnsi="Arial" w:eastAsia="Arial" w:cs="Arial"/>
          <w:b/>
          <w:bCs/>
          <w:i/>
          <w:iCs/>
          <w:color w:val="000000" w:themeColor="text1"/>
          <w:sz w:val="24"/>
          <w:highlight w:val="none"/>
          <w:u w:val="single"/>
          <w14:textFill>
            <w14:solidFill>
              <w14:schemeClr w14:val="tx1"/>
            </w14:solidFill>
          </w14:textFill>
        </w:rPr>
      </w:pPr>
      <w:r>
        <w:rPr>
          <w:rFonts w:ascii="Arial" w:hAnsi="Arial" w:eastAsia="Arial" w:cs="Arial"/>
          <w:b/>
          <w:bCs/>
          <w:color w:val="000000" w:themeColor="text1"/>
          <w:sz w:val="24"/>
          <w:highlight w:val="none"/>
          <w14:textFill>
            <w14:solidFill>
              <w14:schemeClr w14:val="tx1"/>
            </w14:solidFill>
          </w14:textFill>
        </w:rPr>
        <w:t xml:space="preserve">▲</w:t>
      </w:r>
      <w:r>
        <w:rPr>
          <w:rFonts w:ascii="Arial" w:hAnsi="Arial" w:eastAsia="Arial" w:cs="Arial"/>
          <w:b/>
          <w:bCs/>
          <w:i/>
          <w:iCs/>
          <w:color w:val="000000" w:themeColor="text1"/>
          <w:sz w:val="24"/>
          <w:highlight w:val="none"/>
          <w:u w:val="single"/>
          <w14:textFill>
            <w14:solidFill>
              <w14:schemeClr w14:val="tx1"/>
            </w14:solidFill>
          </w14:textFill>
        </w:rPr>
        <w:t xml:space="preserve">中标单位与原有平台系统建设单位进行对接，实现资源共享、引用</w:t>
      </w:r>
      <w:r>
        <w:rPr>
          <w:rFonts w:ascii="宋体" w:hAnsi="宋体" w:eastAsia="宋体" w:cs="宋体"/>
          <w:b/>
          <w:bCs/>
          <w:i/>
          <w:iCs/>
          <w:color w:val="000000" w:themeColor="text1"/>
          <w:sz w:val="24"/>
          <w:highlight w:val="none"/>
          <w:u w:val="single"/>
          <w14:textFill>
            <w14:solidFill>
              <w14:schemeClr w14:val="tx1"/>
            </w14:solidFill>
          </w14:textFill>
        </w:rPr>
        <w:t xml:space="preserve">、</w:t>
      </w:r>
      <w:r>
        <w:rPr>
          <w:rFonts w:ascii="Arial" w:hAnsi="Arial" w:eastAsia="Arial" w:cs="Arial"/>
          <w:b/>
          <w:bCs/>
          <w:i/>
          <w:iCs/>
          <w:color w:val="000000" w:themeColor="text1"/>
          <w:sz w:val="24"/>
          <w:highlight w:val="none"/>
          <w:u w:val="single"/>
          <w14:textFill>
            <w14:solidFill>
              <w14:schemeClr w14:val="tx1"/>
            </w14:solidFill>
          </w14:textFill>
        </w:rPr>
        <w:t xml:space="preserve">延用，</w:t>
      </w:r>
      <w:r>
        <w:rPr>
          <w:rFonts w:ascii="宋体" w:hAnsi="宋体" w:eastAsia="宋体" w:cs="宋体"/>
          <w:b/>
          <w:bCs/>
          <w:i/>
          <w:iCs/>
          <w:color w:val="000000" w:themeColor="text1"/>
          <w:sz w:val="24"/>
          <w:highlight w:val="none"/>
          <w:u w:val="single"/>
          <w14:textFill>
            <w14:solidFill>
              <w14:schemeClr w14:val="tx1"/>
            </w14:solidFill>
          </w14:textFill>
        </w:rPr>
        <w:t xml:space="preserve">采购单位将积极协调对接工作</w:t>
      </w:r>
      <w:r>
        <w:rPr>
          <w:rFonts w:ascii="Arial" w:hAnsi="Arial" w:eastAsia="Arial" w:cs="Arial"/>
          <w:b/>
          <w:bCs/>
          <w:i/>
          <w:iCs/>
          <w:color w:val="000000" w:themeColor="text1"/>
          <w:sz w:val="24"/>
          <w:highlight w:val="none"/>
          <w:u w:val="single"/>
          <w14:textFill>
            <w14:solidFill>
              <w14:schemeClr w14:val="tx1"/>
            </w14:solidFill>
          </w14:textFill>
        </w:rPr>
        <w:t xml:space="preserve">。（投标文件中须提供书面承诺函，加盖投标人公章）</w:t>
      </w:r>
      <w:bookmarkStart w:id="113" w:name="_Toc2178"/>
      <w:r/>
      <w:bookmarkStart w:id="114" w:name="_Toc8405_WPSOffice_Level3"/>
      <w:r/>
      <w:r/>
    </w:p>
    <w:p>
      <w:pPr>
        <w:ind w:firstLine="482"/>
        <w:jc w:val="left"/>
        <w:spacing w:line="560" w:lineRule="exact"/>
        <w:widowControl/>
        <w:rPr>
          <w:rFonts w:ascii="宋体" w:hAnsi="宋体" w:eastAsia="Arial" w:cs="宋体"/>
          <w:b/>
          <w:bCs/>
          <w:i/>
          <w:iCs/>
          <w:color w:val="auto"/>
          <w:sz w:val="24"/>
          <w:szCs w:val="20"/>
          <w:highlight w:val="none"/>
          <w:u w:val="single"/>
        </w:rPr>
      </w:pPr>
      <w:r>
        <w:rPr>
          <w:rFonts w:hint="eastAsia" w:ascii="宋体" w:hAnsi="宋体" w:eastAsia="Arial" w:cs="宋体"/>
          <w:b/>
          <w:bCs/>
          <w:i/>
          <w:iCs/>
          <w:color w:val="auto"/>
          <w:sz w:val="24"/>
          <w:szCs w:val="20"/>
          <w:highlight w:val="none"/>
          <w:u w:val="single"/>
          <w:lang w:val="en-US" w:eastAsia="zh-CN"/>
        </w:rPr>
        <w:t xml:space="preserve">注：</w:t>
      </w:r>
      <w:r>
        <w:rPr>
          <w:rFonts w:hint="eastAsia" w:ascii="宋体" w:hAnsi="宋体" w:eastAsia="Arial" w:cs="宋体"/>
          <w:b/>
          <w:bCs/>
          <w:i/>
          <w:iCs/>
          <w:color w:val="auto"/>
          <w:sz w:val="24"/>
          <w:szCs w:val="20"/>
          <w:highlight w:val="none"/>
          <w:u w:val="single"/>
        </w:rPr>
        <w:t xml:space="preserve">本项目招标文件中标注</w:t>
      </w:r>
      <w:r>
        <w:rPr>
          <w:rFonts w:ascii="Arial" w:hAnsi="Arial" w:eastAsia="Arial" w:cs="Arial"/>
          <w:b/>
          <w:bCs/>
          <w:i/>
          <w:iCs/>
          <w:color w:val="000000" w:themeColor="text1"/>
          <w:sz w:val="24"/>
          <w:highlight w:val="none"/>
          <w:u w:val="single"/>
          <w14:textFill>
            <w14:solidFill>
              <w14:schemeClr w14:val="tx1"/>
            </w14:solidFill>
          </w14:textFill>
        </w:rPr>
        <w:t xml:space="preserve">▲</w:t>
      </w:r>
      <w:r>
        <w:rPr>
          <w:rFonts w:hint="eastAsia" w:ascii="宋体" w:hAnsi="宋体" w:eastAsia="Arial" w:cs="宋体"/>
          <w:b/>
          <w:bCs/>
          <w:i/>
          <w:iCs/>
          <w:color w:val="auto"/>
          <w:sz w:val="24"/>
          <w:szCs w:val="20"/>
          <w:highlight w:val="none"/>
          <w:u w:val="single"/>
        </w:rPr>
        <w:t xml:space="preserve">为实质性要求，不允许负偏离，否则为无效投标。</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2、建设目标</w:t>
      </w:r>
      <w:bookmarkEnd w:id="113"/>
      <w:r/>
      <w:bookmarkEnd w:id="114"/>
      <w:r/>
      <w:r/>
    </w:p>
    <w:p>
      <w:pPr>
        <w:ind w:firstLine="482"/>
        <w:jc w:val="left"/>
        <w:spacing w:line="560" w:lineRule="exact"/>
        <w:widowControl/>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二期项目将主要从如下方面开展建设，分为新建和优化两类。</w:t>
      </w:r>
      <w:r/>
    </w:p>
    <w:p>
      <w:pPr>
        <w:ind w:firstLine="482"/>
        <w:jc w:val="left"/>
        <w:spacing w:line="560" w:lineRule="exact"/>
        <w:widowControl/>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二期</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新建</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模块</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（1）开发信息整合</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，解决报送效率</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低下</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的问题</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对于</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工作中使用的企业协作社</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群，使用RPA技术安全、高效地将群内报送的信息进行自动化报送去重，代替人工操作流程，确保第一时间发现信息、第一时间审核信息。同时，将各个途径获取到的信息进行汇总，包括不仅限于上级下发、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人工推送</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等。</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（2）开发专项</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任务模块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，支撑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批量信息加工处理</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针对性支撑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批量信息的管理处置</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工作。系统发起专项任务后，将指定</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企业协作社</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群内的信息自动</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获</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取到相关任务下，再通过系统向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相关</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部门进行</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分</w:t>
      </w:r>
      <w:bookmarkStart w:id="495" w:name="_GoBack"/>
      <w:r/>
      <w:bookmarkEnd w:id="495"/>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发。信息区分发现、</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处理、</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删除等状态，并实时提供相关统计数据。</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（3）开发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公安</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信息</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处理模块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，全方位刻画</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信息</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全貌</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在公安内部网络</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开发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公安</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信息</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处理模块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支持不同单位的人员操作，打通业务边界，融合公安工作数据</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，更利于全方位刻画</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网上信息</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全貌。</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（4）开发账号</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管控模块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便于</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分类分级管理</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增加</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互联网用户</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账号</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管理</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，支持账号数据自动更新、虚拟身份建设立体和网上活动刻画，并将数据同步到</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公安内部网络</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。在</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公安内部网络</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，通过关联分析、综合研判，</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将相关</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账号进行分类分级管理。</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（5）开发分析预警</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，发挥各类数据的二次价值</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通过分析和挖掘系统内数据，及时将关键</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信息</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和敏感</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线索</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及时预警给操作人员。当数据积累到一定的程度，对存在二次</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涉及</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的账号和人员等情况进行预警；同时，当发现信息</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涉及</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时间段内的重点专项</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任务</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时，也提供相应提醒。此外，信息积累</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到一定程度后</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可</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从多维度、多角度进行数据分析，有效发挥各类数据的二次价值。</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优化一期模块：</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（6）优化信息流转</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模块</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，提升系统运转效能和用户体验</w:t>
      </w:r>
      <w:r/>
    </w:p>
    <w:p>
      <w:pPr>
        <w:ind w:firstLine="482"/>
        <w:jc w:val="left"/>
        <w:spacing w:line="560" w:lineRule="exact"/>
        <w:widowControl/>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优化改进一期平台流转模块部分功能，涉及报送、处置、管理、展示等方面，使系统更加贴近</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工作</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需要。如增加信息督办、增加反馈时限和超时提醒、完善批量采</w:t>
      </w:r>
      <w:r>
        <w:rPr>
          <w:rFonts w:hint="eastAsia"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编</w:t>
      </w:r>
      <w:r>
        <w:rPr>
          <w:rFonts w:hint="default" w:asciiTheme="minorEastAsia" w:hAnsiTheme="minorEastAsia" w:cstheme="minorEastAsia"/>
          <w:b w:val="0"/>
          <w:bCs w:val="0"/>
          <w:color w:val="000000" w:themeColor="text1"/>
          <w:sz w:val="24"/>
          <w:szCs w:val="20"/>
          <w:highlight w:val="none"/>
          <w:lang w:val="en-US" w:eastAsia="zh-CN"/>
          <w14:textFill>
            <w14:solidFill>
              <w14:schemeClr w14:val="tx1"/>
            </w14:solidFill>
          </w14:textFill>
        </w:rPr>
        <w:t xml:space="preserve">和忽略、丰富现有标签选项等。</w:t>
      </w:r>
      <w:r/>
    </w:p>
    <w:p>
      <w:pPr>
        <w:ind w:firstLine="482"/>
        <w:jc w:val="left"/>
        <w:spacing w:line="560" w:lineRule="exact"/>
        <w:widowControl/>
        <w:rPr>
          <w:rFonts w:hint="default" w:asciiTheme="minorEastAsia" w:hAnsiTheme="minorEastAsia" w:cstheme="minorEastAsia"/>
          <w:b/>
          <w:bCs/>
          <w:color w:val="000000" w:themeColor="text1"/>
          <w:sz w:val="24"/>
          <w:szCs w:val="20"/>
          <w:highlight w:val="none"/>
          <w:lang w:val="en-US" w:eastAsia="zh-CN"/>
          <w14:textFill>
            <w14:solidFill>
              <w14:schemeClr w14:val="tx1"/>
            </w14:solidFill>
          </w14:textFill>
        </w:rPr>
      </w:pPr>
      <w:r/>
      <w:bookmarkStart w:id="115" w:name="_Toc9172"/>
      <w:r/>
      <w:bookmarkStart w:id="116" w:name="_Toc23902"/>
      <w:r/>
      <w:bookmarkStart w:id="117" w:name="_Toc8074"/>
      <w:r/>
      <w:bookmarkStart w:id="118" w:name="_Toc32621"/>
      <w:r/>
      <w:bookmarkStart w:id="119" w:name="_Toc130808730"/>
      <w:r/>
      <w:bookmarkStart w:id="120" w:name="_Toc481"/>
      <w:r/>
      <w:bookmarkStart w:id="121" w:name="_Toc2918"/>
      <w:r/>
      <w:bookmarkStart w:id="122" w:name="_Toc25419"/>
      <w:r/>
      <w:bookmarkStart w:id="123" w:name="_Toc20634"/>
      <w:r/>
      <w:bookmarkStart w:id="124" w:name="_Toc16035"/>
      <w:r/>
      <w:bookmarkStart w:id="125" w:name="_Toc4415"/>
      <w:r/>
      <w:bookmarkStart w:id="126" w:name="_Toc8760"/>
      <w:r/>
      <w:bookmarkStart w:id="127" w:name="_Toc11563"/>
      <w:r/>
      <w:bookmarkStart w:id="128" w:name="_Toc6190"/>
      <w:r/>
      <w:bookmarkStart w:id="129" w:name="_Toc18883"/>
      <w:r/>
      <w:bookmarkStart w:id="130" w:name="_Toc21369"/>
      <w:r/>
      <w:bookmarkStart w:id="131" w:name="_Toc56"/>
      <w:r/>
      <w:bookmarkStart w:id="132" w:name="_Toc29824"/>
      <w:r/>
      <w:bookmarkStart w:id="133" w:name="_Toc3588"/>
      <w:r/>
      <w:bookmarkStart w:id="134" w:name="_Toc17742"/>
      <w:r/>
      <w:bookmarkStart w:id="135" w:name="_Toc25763"/>
      <w:r/>
      <w:bookmarkStart w:id="136" w:name="_Toc21227"/>
      <w:r/>
      <w:bookmarkStart w:id="137" w:name="_Toc510"/>
      <w:r/>
      <w:bookmarkStart w:id="138" w:name="_Toc7027"/>
      <w:r/>
      <w:bookmarkStart w:id="139" w:name="_Toc8101"/>
      <w:r/>
      <w:bookmarkStart w:id="140" w:name="_Toc2445"/>
      <w:r/>
      <w:bookmarkStart w:id="141" w:name="_Toc29312"/>
      <w:r/>
      <w:bookmarkStart w:id="142" w:name="_Toc30554"/>
      <w:r/>
      <w:bookmarkStart w:id="143" w:name="_Toc4228"/>
      <w:r/>
      <w:bookmarkStart w:id="144" w:name="_Toc15597"/>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3、</w:t>
      </w:r>
      <w:r>
        <w:rPr>
          <w:rFonts w:hint="default"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总体架构</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2"/>
        <w:jc w:val="left"/>
        <w:spacing w:line="560" w:lineRule="exact"/>
        <w:widowControl/>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信息整合至系统，包括但不仅限于通过使用浏览器插件快捷报送、人工推送等。经过系统自动去重后，将信息呈现至工作台，交由市局审核人员进行审核，同时</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向指定单位流转发送</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。信息由</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对方</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签收后自动进入</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公安内部网络</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，将所有数据在</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公安内部网络再度</w:t>
      </w:r>
      <w:r>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t xml:space="preserve">流转，进行处置、回复、检查、分析等操作。</w:t>
      </w:r>
      <w:r/>
    </w:p>
    <w:p>
      <w:pPr>
        <w:ind w:firstLine="480"/>
        <w:jc w:val="center"/>
        <w:keepLines w:val="0"/>
        <w:keepNext w:val="0"/>
        <w:pageBreakBefore w:val="0"/>
        <w:spacing w:line="560" w:lineRule="exact"/>
        <w:widowControl/>
        <w:rPr>
          <w:rFonts w:hint="default" w:ascii="Times New Roman" w:hAnsi="Times New Roman" w:cs="Times New Roman" w:eastAsiaTheme="minorEastAsia"/>
          <w:color w:val="000000" w:themeColor="text1"/>
          <w:sz w:val="24"/>
          <w:szCs w:val="22"/>
          <w:highlight w:val="none"/>
          <w:lang w:val="en-US" w:eastAsia="zh-CN" w:bidi="zh-TW"/>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286385</wp:posOffset>
                </wp:positionH>
                <wp:positionV relativeFrom="paragraph">
                  <wp:posOffset>202565</wp:posOffset>
                </wp:positionV>
                <wp:extent cx="4926330" cy="3324225"/>
                <wp:effectExtent l="0" t="0" r="7620" b="9525"/>
                <wp:wrapTopAndBottom/>
                <wp:docPr id="4" name="图片 3" descr="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34"/>
                        <pic:cNvPicPr>
                          <a:picLocks noChangeAspect="1"/>
                        </pic:cNvPicPr>
                        <pic:nvPr/>
                      </pic:nvPicPr>
                      <pic:blipFill>
                        <a:blip r:embed="rId16"/>
                        <a:stretch/>
                      </pic:blipFill>
                      <pic:spPr bwMode="auto">
                        <a:xfrm>
                          <a:off x="0" y="0"/>
                          <a:ext cx="4926330" cy="33242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5pt;mso-position-horizontal:absolute;mso-position-vertical-relative:text;margin-top:15.9pt;mso-position-vertical:absolute;width:387.9pt;height:261.8pt;mso-wrap-distance-left:9.0pt;mso-wrap-distance-top:0.0pt;mso-wrap-distance-right:9.0pt;mso-wrap-distance-bottom:0.0pt;" stroked="false">
                <v:path textboxrect="0,0,0,0"/>
                <w10:wrap type="topAndBottom"/>
                <v:imagedata r:id="rId16" o:title=""/>
              </v:shape>
            </w:pict>
          </mc:Fallback>
        </mc:AlternateContent>
      </w:r>
      <w:r>
        <w:rPr>
          <w:rFonts w:hint="default" w:ascii="Times New Roman" w:hAnsi="Times New Roman" w:cs="Times New Roman" w:eastAsiaTheme="minorEastAsia"/>
          <w:color w:val="000000" w:themeColor="text1"/>
          <w:sz w:val="24"/>
          <w:szCs w:val="22"/>
          <w:highlight w:val="none"/>
          <w:lang w:val="en-US" w:eastAsia="zh-CN" w:bidi="zh-TW"/>
          <w14:textFill>
            <w14:solidFill>
              <w14:schemeClr w14:val="tx1"/>
            </w14:solidFill>
          </w14:textFill>
        </w:rPr>
        <w:t xml:space="preserve">总体架构图</w:t>
      </w:r>
      <w:r/>
    </w:p>
    <w:p>
      <w:pPr>
        <w:ind w:firstLine="482"/>
        <w:jc w:val="left"/>
        <w:spacing w:line="560" w:lineRule="exact"/>
        <w:widowControl/>
        <w:rPr>
          <w:rFonts w:hint="default" w:ascii="宋体" w:hAnsi="宋体" w:eastAsia="Arial" w:cs="宋体"/>
          <w:b/>
          <w:bCs/>
          <w:color w:val="000000" w:themeColor="text1"/>
          <w:sz w:val="24"/>
          <w:szCs w:val="20"/>
          <w:highlight w:val="none"/>
          <w:lang w:val="en-US" w:eastAsia="zh-CN"/>
          <w14:textFill>
            <w14:solidFill>
              <w14:schemeClr w14:val="tx1"/>
            </w14:solidFill>
          </w14:textFill>
        </w:rPr>
      </w:pPr>
      <w:r/>
      <w:bookmarkStart w:id="145" w:name="_Toc10914"/>
      <w:r/>
      <w:bookmarkStart w:id="146" w:name="_Toc11781"/>
      <w:r/>
      <w:bookmarkStart w:id="147" w:name="_Toc15250"/>
      <w:r/>
      <w:bookmarkStart w:id="148" w:name="_Toc16791"/>
      <w:r/>
      <w:bookmarkStart w:id="149" w:name="_Toc16809"/>
      <w:r/>
      <w:bookmarkStart w:id="150" w:name="_Toc3201"/>
      <w:r/>
      <w:bookmarkStart w:id="151" w:name="_Toc7985"/>
      <w:r/>
      <w:bookmarkStart w:id="152" w:name="_Toc2642"/>
      <w:r/>
      <w:bookmarkStart w:id="153" w:name="_Toc12026"/>
      <w:r/>
      <w:bookmarkStart w:id="154" w:name="_Toc32259"/>
      <w:r/>
      <w:bookmarkStart w:id="155" w:name="_Toc11995"/>
      <w:r/>
      <w:bookmarkStart w:id="156" w:name="_Toc11117"/>
      <w:r/>
      <w:bookmarkStart w:id="157" w:name="_Toc11005"/>
      <w:r/>
      <w:bookmarkStart w:id="158" w:name="_Toc17163"/>
      <w:r/>
      <w:bookmarkStart w:id="159" w:name="_Toc875"/>
      <w:r/>
      <w:bookmarkStart w:id="160" w:name="_Toc30066"/>
      <w:r/>
      <w:bookmarkStart w:id="161" w:name="_Toc30759"/>
      <w:r/>
      <w:bookmarkStart w:id="162" w:name="_Toc22002"/>
      <w:r/>
      <w:bookmarkStart w:id="163" w:name="_Toc9575"/>
      <w:r/>
      <w:bookmarkStart w:id="164" w:name="_Toc30754"/>
      <w:r/>
      <w:bookmarkStart w:id="165" w:name="_Toc10069"/>
      <w:r/>
      <w:bookmarkStart w:id="166" w:name="_Toc5462"/>
      <w:r/>
      <w:bookmarkStart w:id="167" w:name="_Toc30022"/>
      <w:r/>
      <w:bookmarkStart w:id="168" w:name="_Toc32207"/>
      <w:r/>
      <w:bookmarkStart w:id="169" w:name="_Toc22616"/>
      <w:r/>
      <w:bookmarkStart w:id="170" w:name="_Toc24946"/>
      <w:r/>
      <w:bookmarkStart w:id="171" w:name="_Toc10282"/>
      <w:r/>
      <w:bookmarkStart w:id="172" w:name="_Toc5544"/>
      <w:r>
        <w:rPr>
          <w:rFonts w:hint="eastAsia" w:ascii="宋体" w:hAnsi="宋体" w:eastAsia="Arial" w:cs="宋体"/>
          <w:b/>
          <w:bCs/>
          <w:color w:val="000000" w:themeColor="text1"/>
          <w:sz w:val="24"/>
          <w:szCs w:val="20"/>
          <w:highlight w:val="none"/>
          <w:lang w:val="en-US" w:eastAsia="zh-CN"/>
          <w14:textFill>
            <w14:solidFill>
              <w14:schemeClr w14:val="tx1"/>
            </w14:solidFill>
          </w14:textFill>
        </w:rPr>
        <w:t xml:space="preserve">4、</w:t>
      </w:r>
      <w:r>
        <w:rPr>
          <w:rFonts w:hint="default" w:ascii="宋体" w:hAnsi="宋体" w:eastAsia="Arial" w:cs="宋体"/>
          <w:b/>
          <w:bCs/>
          <w:color w:val="000000" w:themeColor="text1"/>
          <w:sz w:val="24"/>
          <w:szCs w:val="20"/>
          <w:highlight w:val="none"/>
          <w:lang w:val="en-US" w:eastAsia="zh-CN"/>
          <w14:textFill>
            <w14:solidFill>
              <w14:schemeClr w14:val="tx1"/>
            </w14:solidFill>
          </w14:textFill>
        </w:rPr>
        <w:t xml:space="preserve">应用系统设计</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82"/>
        <w:jc w:val="left"/>
        <w:spacing w:line="560" w:lineRule="exact"/>
        <w:widowControl/>
        <w:rPr>
          <w:rFonts w:hint="default" w:ascii="宋体" w:hAnsi="宋体" w:eastAsia="Arial" w:cs="宋体"/>
          <w:b w:val="0"/>
          <w:bCs w:val="0"/>
          <w:color w:val="000000" w:themeColor="text1"/>
          <w:sz w:val="24"/>
          <w:szCs w:val="20"/>
          <w:highlight w:val="none"/>
          <w:lang w:val="en-US" w:eastAsia="zh-CN"/>
          <w14:textFill>
            <w14:solidFill>
              <w14:schemeClr w14:val="tx1"/>
            </w14:solidFill>
          </w14:textFill>
        </w:rPr>
      </w:pPr>
      <w:r/>
      <w:bookmarkStart w:id="173" w:name="_Toc18281"/>
      <w:r/>
      <w:bookmarkStart w:id="174" w:name="_Toc861"/>
      <w:r/>
      <w:bookmarkStart w:id="175" w:name="_Toc29851"/>
      <w:r/>
      <w:bookmarkStart w:id="176" w:name="_Toc5502"/>
      <w:r/>
      <w:bookmarkStart w:id="177" w:name="_Toc21819"/>
      <w:r/>
      <w:bookmarkStart w:id="178" w:name="_Toc32330"/>
      <w:r/>
      <w:bookmarkStart w:id="179" w:name="_Toc8801"/>
      <w:r/>
      <w:bookmarkStart w:id="180" w:name="_Toc32033"/>
      <w:r/>
      <w:bookmarkStart w:id="181" w:name="_Toc19159"/>
      <w:r/>
      <w:bookmarkStart w:id="182" w:name="_Toc5089"/>
      <w:r/>
      <w:bookmarkStart w:id="183" w:name="_Toc24342"/>
      <w:r/>
      <w:bookmarkStart w:id="184" w:name="_Toc4929"/>
      <w:r/>
      <w:bookmarkStart w:id="185" w:name="_Toc5898"/>
      <w:r/>
      <w:bookmarkStart w:id="186" w:name="_Toc15613"/>
      <w:r/>
      <w:bookmarkStart w:id="187" w:name="_Toc18760"/>
      <w:r/>
      <w:bookmarkStart w:id="188" w:name="_Toc26496"/>
      <w:r/>
      <w:bookmarkStart w:id="189" w:name="_Toc8931"/>
      <w:r/>
      <w:bookmarkStart w:id="190" w:name="_Toc17319"/>
      <w:r/>
      <w:bookmarkStart w:id="191" w:name="_Toc26948"/>
      <w:r/>
      <w:bookmarkStart w:id="192" w:name="_Toc30426"/>
      <w:r/>
      <w:bookmarkStart w:id="193" w:name="_Toc12996"/>
      <w:r/>
      <w:bookmarkStart w:id="194" w:name="_Toc20410"/>
      <w:r/>
      <w:bookmarkStart w:id="195" w:name="_Toc31527"/>
      <w:r/>
      <w:bookmarkStart w:id="196" w:name="_Toc12478"/>
      <w:r/>
      <w:bookmarkStart w:id="197" w:name="_Toc31165"/>
      <w:r/>
      <w:bookmarkStart w:id="198" w:name="_Toc26591"/>
      <w:r/>
      <w:bookmarkStart w:id="199" w:name="_Toc27003"/>
      <w:r/>
      <w:bookmarkStart w:id="200" w:name="_Toc29332"/>
      <w:r/>
      <w:bookmarkStart w:id="201" w:name="_Toc13794"/>
      <w:r>
        <w:rPr>
          <w:rFonts w:hint="eastAsia" w:ascii="宋体" w:hAnsi="宋体" w:eastAsia="Arial" w:cs="宋体"/>
          <w:b w:val="0"/>
          <w:bCs w:val="0"/>
          <w:color w:val="000000" w:themeColor="text1"/>
          <w:sz w:val="24"/>
          <w:szCs w:val="20"/>
          <w:highlight w:val="none"/>
          <w:lang w:val="en-US" w:eastAsia="zh-CN"/>
          <w14:textFill>
            <w14:solidFill>
              <w14:schemeClr w14:val="tx1"/>
            </w14:solidFill>
          </w14:textFill>
        </w:rPr>
        <w:t xml:space="preserve">4</w:t>
      </w:r>
      <w:r>
        <w:rPr>
          <w:rFonts w:hint="default" w:ascii="宋体" w:hAnsi="宋体" w:eastAsia="Arial" w:cs="宋体"/>
          <w:b w:val="0"/>
          <w:bCs w:val="0"/>
          <w:color w:val="000000" w:themeColor="text1"/>
          <w:sz w:val="24"/>
          <w:szCs w:val="20"/>
          <w:highlight w:val="none"/>
          <w:lang w:val="en-US" w:eastAsia="zh-CN"/>
          <w14:textFill>
            <w14:solidFill>
              <w14:schemeClr w14:val="tx1"/>
            </w14:solidFill>
          </w14:textFill>
        </w:rPr>
        <w:t xml:space="preserve">.1 信息整合模块</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82"/>
        <w:jc w:val="left"/>
        <w:spacing w:line="560" w:lineRule="exact"/>
        <w:widowControl/>
        <w:rPr>
          <w:rFonts w:hint="default" w:ascii="宋体" w:hAnsi="宋体" w:eastAsia="Arial" w:cs="宋体"/>
          <w:b w:val="0"/>
          <w:bCs w:val="0"/>
          <w:color w:val="000000" w:themeColor="text1"/>
          <w:sz w:val="24"/>
          <w:szCs w:val="20"/>
          <w:highlight w:val="none"/>
          <w:lang w:val="en-US" w:eastAsia="zh-CN"/>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14:textFill>
            <w14:solidFill>
              <w14:schemeClr w14:val="tx1"/>
            </w14:solidFill>
          </w14:textFill>
        </w:rPr>
        <w:t xml:space="preserve">信息整合系统能够将各个途径获取到相关的信息进行数据汇总。目前信息来源主要来自上级下发、区县发现报送、推送服务等。系统通过建设不同的接口，将信息进行对接，信息内容、账号信息等信息自动汇总至系统中，具体流程如图所示。</w:t>
      </w:r>
      <w:r/>
    </w:p>
    <w:p>
      <w:pPr>
        <w:ind w:left="0" w:right="0" w:firstLine="0"/>
        <w:jc w:val="center"/>
        <w:spacing w:before="0" w:after="0" w:line="240" w:lineRule="auto"/>
        <w:widowControl w:val="off"/>
        <w:rPr>
          <w:rFonts w:hint="default" w:ascii="Times New Roman" w:hAnsi="Times New Roman" w:cs="Times New Roman"/>
          <w:b w:val="0"/>
          <w:color w:val="000000" w:themeColor="text1"/>
          <w:spacing w:val="0"/>
          <w:sz w:val="32"/>
          <w:szCs w:val="32"/>
          <w:highlight w:val="none"/>
          <w:lang w:val="en-US" w:eastAsia="zh-CN" w:bidi="ar-SA"/>
          <w14:textFill>
            <w14:solidFill>
              <w14:schemeClr w14:val="tx1"/>
            </w14:solidFill>
          </w14:textFill>
        </w:rPr>
        <w:outlineLvl w:val="9"/>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5451475" cy="2684145"/>
                <wp:effectExtent l="0" t="0" r="15875" b="1905"/>
                <wp:docPr id="5" name="图片框 1029" descr="C:/Users/PDY/Desktop/2023项目/舆情处置平台（二期）/图片/图片1【改2】.png图片1【改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29" descr="C:/Users/PDY/Desktop/2023项目/舆情处置平台（二期）/图片/图片1【改2】.png图片1【改2】"/>
                        <pic:cNvPicPr>
                          <a:picLocks noChangeAspect="1"/>
                        </pic:cNvPicPr>
                        <pic:nvPr/>
                      </pic:nvPicPr>
                      <pic:blipFill>
                        <a:blip r:embed="rId17"/>
                        <a:srcRect l="2536" t="0" r="2536" b="0"/>
                        <a:stretch/>
                      </pic:blipFill>
                      <pic:spPr bwMode="auto">
                        <a:xfrm>
                          <a:off x="0" y="0"/>
                          <a:ext cx="5451475" cy="2684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9.2pt;height:211.3pt;mso-wrap-distance-left:0.0pt;mso-wrap-distance-top:0.0pt;mso-wrap-distance-right:0.0pt;mso-wrap-distance-bottom:0.0pt;" stroked="f">
                <v:path textboxrect="0,0,0,0"/>
                <v:imagedata r:id="rId17" o:title=""/>
              </v:shape>
            </w:pict>
          </mc:Fallback>
        </mc:AlternateContent>
      </w:r>
      <w:r/>
    </w:p>
    <w:p>
      <w:pPr>
        <w:pStyle w:val="797"/>
        <w:ind w:left="0" w:right="0" w:firstLine="0"/>
        <w:jc w:val="center"/>
        <w:spacing w:before="0" w:after="0" w:line="580" w:lineRule="exact"/>
        <w:widowControl w:val="off"/>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outlineLvl w:val="9"/>
      </w:pPr>
      <w:r/>
      <w:bookmarkStart w:id="202" w:name="_Toc3693"/>
      <w:r/>
      <w:bookmarkStart w:id="203" w:name="_Toc29411"/>
      <w:r/>
      <w:bookmarkStart w:id="204" w:name="_Toc32635"/>
      <w:r>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t xml:space="preserve">信息整合模块</w:t>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（1）</w:t>
      </w:r>
      <w:bookmarkEnd w:id="202"/>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企业协作社</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群识别</w:t>
      </w:r>
      <w:bookmarkEnd w:id="203"/>
      <w:r/>
      <w:bookmarkEnd w:id="204"/>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主要是将</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指定的企业协作社</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群中的信息进行采集，并且通过服务将账号配置到对应的单位中，功能支持数据的自动识别报送，以及支持机器人自动下发处置，从而形成半自动化信息流转系统。该功能存在的菜单有群列表、群聊天记录、监测配置等功能。</w:t>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205" w:name="_Toc9142"/>
      <w:r/>
      <w:bookmarkStart w:id="206" w:name="_Toc16798"/>
      <w:r/>
      <w:bookmarkStart w:id="207" w:name="_Toc22552"/>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（2）浏览器插件</w:t>
      </w:r>
      <w:bookmarkEnd w:id="205"/>
      <w:r/>
      <w:bookmarkEnd w:id="206"/>
      <w:r/>
      <w:bookmarkEnd w:id="207"/>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信息厂商</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服务软件中，存在有捕捉到的大量</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有价值</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信息，使用人工研判和报送会大幅度增加报送流程，并且需要投入大量人力，进而导致信息缺失时效性。使用浏览器插件的方式将服务软件上需要报送的信息一键式报送至系统，减少用户手动录入信息的操作，提高报送效率，保障信息的即时性。</w:t>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208" w:name="_Toc13566"/>
      <w:r/>
      <w:bookmarkStart w:id="209" w:name="_Toc7995"/>
      <w:r/>
      <w:bookmarkStart w:id="210" w:name="_Toc1753"/>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（3）</w:t>
      </w:r>
      <w:bookmarkEnd w:id="208"/>
      <w:r/>
      <w:bookmarkEnd w:id="209"/>
      <w:r/>
      <w:bookmarkEnd w:id="210"/>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要素识别</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手动报送实现要素快速自动识别。将发现的信息按照系统数据项进行填入；信息的内容可以通过链接地址识别后自动填入，减少用户信息录入项，大幅减少报送时间，确保信息能够即时、有效的报送至平台进行审核。</w:t>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211" w:name="_Toc28932"/>
      <w:r/>
      <w:bookmarkStart w:id="212" w:name="_Toc15464"/>
      <w:r/>
      <w:bookmarkStart w:id="213" w:name="_Toc17334"/>
      <w:r/>
      <w:bookmarkStart w:id="214" w:name="_Toc26273"/>
      <w:r/>
      <w:bookmarkStart w:id="215" w:name="_Toc19291"/>
      <w:r/>
      <w:bookmarkStart w:id="216" w:name="_Toc9993"/>
      <w:r/>
      <w:bookmarkStart w:id="217" w:name="_Toc26045"/>
      <w:r/>
      <w:bookmarkStart w:id="218" w:name="_Toc6151"/>
      <w:r/>
      <w:bookmarkStart w:id="219" w:name="_Toc24432"/>
      <w:r/>
      <w:bookmarkStart w:id="220" w:name="_Toc17545"/>
      <w:r/>
      <w:bookmarkStart w:id="221" w:name="_Toc18712"/>
      <w:r/>
      <w:bookmarkStart w:id="222" w:name="_Toc9058"/>
      <w:r/>
      <w:bookmarkStart w:id="223" w:name="_Toc30230"/>
      <w:r/>
      <w:bookmarkStart w:id="224" w:name="_Toc17444"/>
      <w:r/>
      <w:bookmarkStart w:id="225" w:name="_Toc16653"/>
      <w:r/>
      <w:bookmarkStart w:id="226" w:name="_Toc16724"/>
      <w:r/>
      <w:bookmarkStart w:id="227" w:name="_Toc10391"/>
      <w:r/>
      <w:bookmarkStart w:id="228" w:name="_Toc29823"/>
      <w:r/>
      <w:bookmarkStart w:id="229" w:name="_Toc23466"/>
      <w:r/>
      <w:bookmarkStart w:id="230" w:name="_Toc781"/>
      <w:r/>
      <w:bookmarkStart w:id="231" w:name="_Toc1847"/>
      <w:r/>
      <w:bookmarkStart w:id="232" w:name="_Toc26943"/>
      <w:r/>
      <w:bookmarkStart w:id="233" w:name="_Toc5854"/>
      <w:r/>
      <w:bookmarkStart w:id="234" w:name="_Toc14891"/>
      <w:r/>
      <w:bookmarkStart w:id="235" w:name="_Toc422"/>
      <w:r/>
      <w:bookmarkStart w:id="236" w:name="_Toc21861"/>
      <w:r/>
      <w:bookmarkStart w:id="237" w:name="_Toc24546"/>
      <w:r/>
      <w:bookmarkStart w:id="238" w:name="_Toc9069"/>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.2 信息流转模块</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所有信息整合至系统后，审核人员对信息进行审核，对需要处置的信息，完善处置要求后发送给对应单位开展工作。责任单位处置完毕后反馈至平台，审核人员确认无误后将信息入库。具体的流程如图所示。</w:t>
      </w:r>
      <w:r/>
    </w:p>
    <w:p>
      <w:pPr>
        <w:ind w:left="0" w:right="0" w:firstLine="0"/>
        <w:jc w:val="center"/>
        <w:spacing w:before="0" w:after="0" w:line="240" w:lineRule="auto"/>
        <w:widowControl w:val="off"/>
        <w:rPr>
          <w:rFonts w:hint="default" w:ascii="Times New Roman" w:hAnsi="Times New Roman" w:cs="Times New Roman"/>
          <w:b w:val="0"/>
          <w:color w:val="000000" w:themeColor="text1"/>
          <w:spacing w:val="0"/>
          <w:sz w:val="32"/>
          <w:szCs w:val="32"/>
          <w:highlight w:val="none"/>
          <w:lang w:val="en-US" w:eastAsia="zh-CN" w:bidi="ar-SA"/>
          <w14:textFill>
            <w14:solidFill>
              <w14:schemeClr w14:val="tx1"/>
            </w14:solidFill>
          </w14:textFill>
        </w:rPr>
        <w:outlineLvl w:val="9"/>
      </w:pPr>
      <w:r>
        <w:rPr>
          <w:rFonts w:hint="default" w:ascii="Times New Roman" w:hAnsi="Times New Roman" w:cs="Times New Roman"/>
          <w:b w:val="0"/>
          <w:color w:val="000000" w:themeColor="text1"/>
          <w:spacing w:val="0"/>
          <w:sz w:val="32"/>
          <w:szCs w:val="32"/>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5280025" cy="2328545"/>
                <wp:effectExtent l="0" t="0" r="15875" b="14604"/>
                <wp:docPr id="6" name="图片 4"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3"/>
                        <pic:cNvPicPr>
                          <a:picLocks noChangeAspect="1"/>
                        </pic:cNvPicPr>
                        <pic:nvPr/>
                      </pic:nvPicPr>
                      <pic:blipFill>
                        <a:blip r:embed="rId18"/>
                        <a:stretch/>
                      </pic:blipFill>
                      <pic:spPr bwMode="auto">
                        <a:xfrm>
                          <a:off x="0" y="0"/>
                          <a:ext cx="5280025" cy="2328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8pt;height:183.3pt;mso-wrap-distance-left:0.0pt;mso-wrap-distance-top:0.0pt;mso-wrap-distance-right:0.0pt;mso-wrap-distance-bottom:0.0pt;" stroked="false">
                <v:path textboxrect="0,0,0,0"/>
                <v:imagedata r:id="rId18" o:title=""/>
              </v:shape>
            </w:pict>
          </mc:Fallback>
        </mc:AlternateContent>
      </w:r>
      <w:r/>
    </w:p>
    <w:p>
      <w:pPr>
        <w:pStyle w:val="797"/>
        <w:ind w:left="0" w:right="0" w:firstLine="0"/>
        <w:jc w:val="center"/>
        <w:spacing w:before="0" w:after="0" w:line="293" w:lineRule="auto"/>
        <w:widowControl w:val="off"/>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outlineLvl w:val="9"/>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信息流转模块</w:t>
      </w:r>
      <w:bookmarkStart w:id="239" w:name="_Toc31704"/>
      <w:r/>
      <w:bookmarkStart w:id="240" w:name="_Toc6798"/>
      <w:r/>
      <w:bookmarkStart w:id="241" w:name="_Toc11252"/>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属于优化模块，需要新增的功能如下：</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（1）审核工作台</w:t>
      </w:r>
      <w:bookmarkEnd w:id="239"/>
      <w:r/>
      <w:bookmarkEnd w:id="240"/>
      <w:r/>
      <w:bookmarkEnd w:id="241"/>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增加重点账号功能。展示高风险账号以及指定的账号</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活动</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情况，方便操作人员直观掌握。</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（2）综合统计</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信息处置细化</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分级，如</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为一级、二级、三级</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等</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，并区分县区进行分别统计。</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（3）信息督办</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增加信息督办功能，对于上级通报交办、处置效果不佳等类型的</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网上线索</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开展督办，以督促责任单位提高工作力度。</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督办发布：市局发布事项，录入督办标题和内容，有具体上级指示的同步上传附件存档；信息录入完后，确定督办等级和办结反馈日期，指定责任单位并通知下发。下发后，在</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协作社</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群中自动发布督办消息，并自动艾特指定单位的人员，提醒签收和处置。</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督办详情：督办详情可以查看事项的基本概况，了解督办的任务进度、处置情况、涉事人情况以及对责任单位回复的信息进行审核。</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督办完结：督办事项所有责任单位处置完毕后申请完结，同步上传，如果用户未申请完结，事项也会在截止日期自动完结。处置过程中，需要记录指定单位的处置反馈情况。当督办下发后，区县可以看到属于各自的督办事项，其中上传的附件、处置结果会直接发送给市局进行核查。</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（4）反馈时限</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处置环节增加反馈时间要求，在规定时限内未反馈的，系统认定为超时并打标签。同时超时状态可以进行人工修改，对于确因特殊情况超时反馈的，可以人工调整为正常（系统记录进行调整的操作账号）。</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（5）其他功能</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信息属性修改为标签选项，并增加筛选；增加</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忽略功能，对于不符合要求的数据进行忽略；信息增加一键采</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编</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、一键删除</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等</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功能。</w:t>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242" w:name="_Toc18357"/>
      <w:r/>
      <w:bookmarkStart w:id="243" w:name="_Toc21950"/>
      <w:r/>
      <w:bookmarkStart w:id="244" w:name="_Toc25124"/>
      <w:r/>
      <w:bookmarkStart w:id="245" w:name="_Toc22026"/>
      <w:r/>
      <w:bookmarkStart w:id="246" w:name="_Toc28629"/>
      <w:r/>
      <w:bookmarkStart w:id="247" w:name="_Toc3001"/>
      <w:r/>
      <w:bookmarkStart w:id="248" w:name="_Toc3760"/>
      <w:r/>
      <w:bookmarkStart w:id="249" w:name="_Toc3642"/>
      <w:r/>
      <w:bookmarkStart w:id="250" w:name="_Toc12560"/>
      <w:r/>
      <w:bookmarkStart w:id="251" w:name="_Toc1111"/>
      <w:r/>
      <w:bookmarkStart w:id="252" w:name="_Toc10211"/>
      <w:r/>
      <w:bookmarkStart w:id="253" w:name="_Toc19375"/>
      <w:r/>
      <w:bookmarkStart w:id="254" w:name="_Toc20793"/>
      <w:r/>
      <w:bookmarkStart w:id="255" w:name="_Toc16045"/>
      <w:r/>
      <w:bookmarkStart w:id="256" w:name="_Toc5337"/>
      <w:r/>
      <w:bookmarkStart w:id="257" w:name="_Toc20480"/>
      <w:r/>
      <w:bookmarkStart w:id="258" w:name="_Toc1612"/>
      <w:r/>
      <w:bookmarkStart w:id="259" w:name="_Toc6765"/>
      <w:r/>
      <w:bookmarkStart w:id="260" w:name="_Toc26331"/>
      <w:r/>
      <w:bookmarkStart w:id="261" w:name="_Toc22756"/>
      <w:r/>
      <w:bookmarkStart w:id="262" w:name="_Toc17282"/>
      <w:r/>
      <w:bookmarkStart w:id="263" w:name="_Toc21094"/>
      <w:r/>
      <w:bookmarkStart w:id="264" w:name="_Toc28866"/>
      <w:r/>
      <w:bookmarkStart w:id="265" w:name="_Toc13926"/>
      <w:r/>
      <w:bookmarkStart w:id="266" w:name="_Toc15470"/>
      <w:r/>
      <w:bookmarkStart w:id="267" w:name="_Toc22575"/>
      <w:r/>
      <w:bookmarkStart w:id="268" w:name="_Toc32660"/>
      <w:r/>
      <w:bookmarkStart w:id="269" w:name="_Toc17027"/>
      <w:r/>
      <w:bookmarkStart w:id="270" w:name="_Toc11212"/>
      <w:r/>
      <w:bookmarkStart w:id="271" w:name="_Toc14405"/>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.3 专项</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模块</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列表。展示进行中的专项</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列表，每个</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含有标题、信息数、处置数、反馈数，可见单位等要素。提供事件编辑、状态变更按钮。</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查询。可根据</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名称、添加时间等要素查找具体专项。</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（3）</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创建。录入该</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的名称、录入简要情况、选择参与单位、选择该</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需要获取</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的</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协作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群。</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（4）信息抓取。日常报送可通过快捷手动报送快速获取信息后进行呈现，也可通过关联专项</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群后，自动监测该群内所有报送的信息，并呈现在系统中。同时信息支持处置、清除</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审核</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等操作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5）信息处置。当信息被报送上来后，会对信息增加处置状态，用以区分哪些信息被处置，哪些信息已通知，哪些信息未处置。事件中的相关单位和人员都能看到所有报送的信息，各自单位自行按照指定下发单位进行处置回复，并且处置时需要选择处置方式，并且更新处置信息的处置方式。当创建</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后，会自动在信息库中创建同名</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的类型，并在后续信息进入信息库后自动打上标签。</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（6）信息列表。展示信息列表，可按照平台、报送时间、标题、内容、状态、责任单位等要素进行筛选。</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（7）群组动向。支持录入相关</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群</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内容</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（8）事件趋势。通过报送的信息数据走势，掌握</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相关任务网上信息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整体趋势，同时能够有效体现工作开展后的数据成效，并协助用户研判</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其中</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关键节点。</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（9）</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进展及总结。支持录入事件进展以及各阶段工作成果和总结，便于掌握事件全貌。</w:t>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272" w:name="_Toc1980"/>
      <w:r/>
      <w:bookmarkStart w:id="273" w:name="_Toc22609"/>
      <w:r/>
      <w:bookmarkStart w:id="274" w:name="_Toc27627"/>
      <w:r/>
      <w:bookmarkStart w:id="275" w:name="_Toc15070"/>
      <w:r/>
      <w:bookmarkStart w:id="276" w:name="_Toc31347"/>
      <w:r/>
      <w:bookmarkStart w:id="277" w:name="_Toc11085"/>
      <w:r/>
      <w:bookmarkStart w:id="278" w:name="_Toc20414"/>
      <w:r/>
      <w:bookmarkStart w:id="279" w:name="_Toc25954"/>
      <w:r/>
      <w:bookmarkStart w:id="280" w:name="_Toc10527"/>
      <w:r/>
      <w:bookmarkStart w:id="281" w:name="_Toc8326"/>
      <w:r/>
      <w:bookmarkStart w:id="282" w:name="_Toc11026"/>
      <w:r/>
      <w:bookmarkStart w:id="283" w:name="_Toc13755"/>
      <w:r/>
      <w:bookmarkStart w:id="284" w:name="_Toc25405"/>
      <w:r/>
      <w:bookmarkStart w:id="285" w:name="_Toc9299"/>
      <w:r/>
      <w:bookmarkStart w:id="286" w:name="_Toc13851"/>
      <w:r/>
      <w:bookmarkStart w:id="287" w:name="_Toc25192"/>
      <w:r/>
      <w:bookmarkStart w:id="288" w:name="_Toc4686"/>
      <w:r/>
      <w:bookmarkStart w:id="289" w:name="_Toc29366"/>
      <w:r/>
      <w:bookmarkStart w:id="290" w:name="_Toc31470"/>
      <w:r/>
      <w:bookmarkStart w:id="291" w:name="_Toc2895"/>
      <w:r/>
      <w:bookmarkStart w:id="292" w:name="_Toc2263"/>
      <w:r/>
      <w:bookmarkStart w:id="293" w:name="_Toc30731"/>
      <w:r/>
      <w:bookmarkStart w:id="294" w:name="_Toc28494"/>
      <w:r/>
      <w:bookmarkStart w:id="295" w:name="_Toc19288"/>
      <w:r/>
      <w:bookmarkStart w:id="296" w:name="_Toc28532"/>
      <w:r/>
      <w:bookmarkStart w:id="297" w:name="_Toc32135"/>
      <w:r/>
      <w:bookmarkStart w:id="298" w:name="_Toc30979"/>
      <w:r/>
      <w:bookmarkStart w:id="299" w:name="_Toc19292"/>
      <w:r/>
      <w:bookmarkStart w:id="300" w:name="_Toc9384"/>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 </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公安信息处理</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模块</w:t>
      </w:r>
      <w:bookmarkEnd w:id="272"/>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打通业务边界，融合公安工作数据</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，更利于全方位刻画</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网上信息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全貌</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（1）信息汇聚：一是自主搜集研判的信息；二是区县搜集研判出的信息；三是其他警种推送的各类信息。</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（2）信息预警：可对各方汇聚而来的</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设置预警机制，对于存在风险的信息，达到条件后及时预警提示。</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（3）信息研判：信息编报过程中，可自动或半自动化</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关联</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并可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分析历史</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数据</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，为研判人员提供支撑。</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（4）数据统计：统计各县区在信息报送、任务</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采编</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等相关的工作情况，并提供图表化展示。</w:t>
      </w:r>
      <w:bookmarkStart w:id="301" w:name="_Toc24906"/>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302" w:name="_Toc30262"/>
      <w:r/>
      <w:bookmarkStart w:id="303" w:name="_Toc31007"/>
      <w:r/>
      <w:bookmarkStart w:id="304" w:name="_Toc20479"/>
      <w:r/>
      <w:bookmarkStart w:id="305" w:name="_Toc9700"/>
      <w:r/>
      <w:bookmarkStart w:id="306" w:name="_Toc19755"/>
      <w:r/>
      <w:bookmarkStart w:id="307" w:name="_Toc21540"/>
      <w:r/>
      <w:bookmarkStart w:id="308" w:name="_Toc19632"/>
      <w:r/>
      <w:bookmarkStart w:id="309" w:name="_Toc12144"/>
      <w:r/>
      <w:bookmarkStart w:id="310" w:name="_Toc8785"/>
      <w:r/>
      <w:bookmarkStart w:id="311" w:name="_Toc1222"/>
      <w:r/>
      <w:bookmarkStart w:id="312" w:name="_Toc30156"/>
      <w:r/>
      <w:bookmarkStart w:id="313" w:name="_Toc30086"/>
      <w:r/>
      <w:bookmarkStart w:id="314" w:name="_Toc16082"/>
      <w:r/>
      <w:bookmarkStart w:id="315" w:name="_Toc12843"/>
      <w:r/>
      <w:bookmarkStart w:id="316" w:name="_Toc17291"/>
      <w:r/>
      <w:bookmarkStart w:id="317" w:name="_Toc13266"/>
      <w:r/>
      <w:bookmarkStart w:id="318" w:name="_Toc7922"/>
      <w:r/>
      <w:bookmarkStart w:id="319" w:name="_Toc27589"/>
      <w:r/>
      <w:bookmarkStart w:id="320" w:name="_Toc247"/>
      <w:r/>
      <w:bookmarkStart w:id="321" w:name="_Toc9237"/>
      <w:r/>
      <w:bookmarkStart w:id="322" w:name="_Toc8463"/>
      <w:r/>
      <w:bookmarkStart w:id="323" w:name="_Toc11131"/>
      <w:r/>
      <w:bookmarkStart w:id="324" w:name="_Toc16078"/>
      <w:r/>
      <w:bookmarkStart w:id="325" w:name="_Toc28570"/>
      <w:r/>
      <w:bookmarkStart w:id="326" w:name="_Toc16626"/>
      <w:r/>
      <w:bookmarkStart w:id="327" w:name="_Toc6049"/>
      <w:r/>
      <w:bookmarkStart w:id="328" w:name="_Toc29866"/>
      <w:r/>
      <w:bookmarkStart w:id="329" w:name="_Toc28505"/>
      <w:r/>
      <w:bookmarkStart w:id="330" w:name="_Toc28106"/>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.5 </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账号管控</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模块</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01"/>
      <w:r/>
      <w:bookmarkEnd w:id="330"/>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bookmarkStart w:id="331" w:name="_Toc24641"/>
      <w:r/>
      <w:bookmarkStart w:id="332" w:name="_Toc28717"/>
      <w:r/>
      <w:bookmarkStart w:id="333" w:name="_Toc32090"/>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账号管控</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模块在互联网与</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分别建立，互联网端主要实现账号数据自动更新、虚拟身份建设立体和网上活动刻画；</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端结合处置信息、</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人员</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信息</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等</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实现关联，并进行分类分级管理。</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（1）账号录入</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将</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在信息流转过程中自动获取到的虚拟账号</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以及人工录入的</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账号进行统一管理</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，并根据一定机制将发布违法违规信息的账号收纳入库</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（2）账号详情</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自动获取并呈现账号的基本信息，如：平台、昵称、账号、粉丝数、最近发帖时间、ip所属地等。</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（3）账号分级管控</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综合研判后完善账号类型、关注级别、责任单位、责任人等内容，交办责任单位进行分级管控。</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（4）账号刻画（</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全量展示相关账号参与</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事件</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发布</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内容、管控记录等情况，从不同纬度完成相关账号网上活动的整体刻画。</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（5）人员画像（</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完善个人身份、社交账号、社会关系等基本信息，汇聚处置信息、</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涉案信息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等数据，形成完整的人员画像。</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（7）人员</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管理</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根据预定机制</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进行分类分级，并筛选出重点人员</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以加强关注</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bookmarkEnd w:id="331"/>
      <w:r/>
      <w:bookmarkEnd w:id="332"/>
      <w:r/>
      <w:bookmarkEnd w:id="333"/>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334" w:name="_Toc10415"/>
      <w:r/>
      <w:bookmarkStart w:id="335" w:name="_Toc4789"/>
      <w:r/>
      <w:bookmarkStart w:id="336" w:name="_Toc19720"/>
      <w:r/>
      <w:bookmarkStart w:id="337" w:name="_Toc23823"/>
      <w:r/>
      <w:bookmarkStart w:id="338" w:name="_Toc5388"/>
      <w:r/>
      <w:bookmarkStart w:id="339" w:name="_Toc11960"/>
      <w:r/>
      <w:bookmarkStart w:id="340" w:name="_Toc21265"/>
      <w:r/>
      <w:bookmarkStart w:id="341" w:name="_Toc12610"/>
      <w:r/>
      <w:bookmarkStart w:id="342" w:name="_Toc21761"/>
      <w:r/>
      <w:bookmarkStart w:id="343" w:name="_Toc3594"/>
      <w:r/>
      <w:bookmarkStart w:id="344" w:name="_Toc9259"/>
      <w:r/>
      <w:bookmarkStart w:id="345" w:name="_Toc10648"/>
      <w:r/>
      <w:bookmarkStart w:id="346" w:name="_Toc7125"/>
      <w:r/>
      <w:bookmarkStart w:id="347" w:name="_Toc17923"/>
      <w:r/>
      <w:bookmarkStart w:id="348" w:name="_Toc21741"/>
      <w:r/>
      <w:bookmarkStart w:id="349" w:name="_Toc15135"/>
      <w:r/>
      <w:bookmarkStart w:id="350" w:name="_Toc25635"/>
      <w:r/>
      <w:bookmarkStart w:id="351" w:name="_Toc845"/>
      <w:r/>
      <w:bookmarkStart w:id="352" w:name="_Toc19682"/>
      <w:r/>
      <w:bookmarkStart w:id="353" w:name="_Toc19905"/>
      <w:r/>
      <w:bookmarkStart w:id="354" w:name="_Toc29423"/>
      <w:r/>
      <w:bookmarkStart w:id="355" w:name="_Toc194"/>
      <w:r/>
      <w:bookmarkStart w:id="356" w:name="_Toc29619"/>
      <w:r/>
      <w:bookmarkStart w:id="357" w:name="_Toc11987"/>
      <w:r/>
      <w:bookmarkStart w:id="358" w:name="_Toc11348"/>
      <w:r/>
      <w:bookmarkStart w:id="359" w:name="_Toc9895"/>
      <w:r/>
      <w:bookmarkStart w:id="360" w:name="_Toc23479"/>
      <w:r/>
      <w:bookmarkStart w:id="361" w:name="_Toc27525"/>
      <w:r/>
      <w:bookmarkStart w:id="362" w:name="_Toc21502"/>
      <w:r/>
      <w:bookmarkStart w:id="363" w:name="_Toc24087"/>
      <w:r/>
      <w:bookmarkStart w:id="364" w:name="_Toc19476"/>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.6 预警分析模块</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firstLine="480"/>
        <w:jc w:val="left"/>
        <w:keepLines w:val="0"/>
        <w:keepNext w:val="0"/>
        <w:pageBreakBefore w:val="0"/>
        <w:spacing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bookmarkStart w:id="365" w:name="_Toc83"/>
      <w:r/>
      <w:bookmarkStart w:id="366" w:name="_Toc19854"/>
      <w:r/>
      <w:bookmarkStart w:id="367" w:name="_Toc678"/>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（1）账号预警</w:t>
      </w:r>
      <w:bookmarkEnd w:id="365"/>
      <w:r/>
      <w:bookmarkEnd w:id="366"/>
      <w:r/>
      <w:bookmarkEnd w:id="367"/>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通过数据的日渐完善，当</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库内</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账号</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出现</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多次发布</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违法违规</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信息</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等情况时</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，在工作台的审核页面进行标签化呈现，并且将数据进行醒目呈现，提醒审核人员针对性处置。</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bookmarkStart w:id="368" w:name="_Toc27539"/>
      <w:r/>
      <w:bookmarkStart w:id="369" w:name="_Toc9759"/>
      <w:r/>
      <w:bookmarkStart w:id="370" w:name="_Toc16371"/>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（2）自动填充</w:t>
      </w:r>
      <w:bookmarkEnd w:id="368"/>
      <w:r/>
      <w:bookmarkEnd w:id="369"/>
      <w:r/>
      <w:bookmarkEnd w:id="370"/>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用户在</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录入</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信息时提供自动填充功能。如</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录入</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姓名</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后</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可以将人员信息进行自动补充，方便操作人员</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填写</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，提高工作效率。</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bookmarkStart w:id="371" w:name="_Toc404"/>
      <w:r/>
      <w:bookmarkStart w:id="372" w:name="_Toc23795"/>
      <w:r/>
      <w:bookmarkStart w:id="373" w:name="_Toc24683"/>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（3）</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分析</w:t>
      </w:r>
      <w:bookmarkEnd w:id="371"/>
      <w:r/>
      <w:bookmarkEnd w:id="372"/>
      <w:r/>
      <w:bookmarkEnd w:id="373"/>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（互联网、</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宋体" w:hAnsi="宋体" w:eastAsia="Arial" w:cs="宋体"/>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数据库的数据积累后，能够将数据整合，并且从信息概述、发展趋势、工作情况、账号人员等多个方面进行多维度分析，实现对</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单</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个</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任务</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的完整呈现和复盘。此外，系统也支持创建信息类型，实时对信息库的信息进行分类，并支持按照时间段、临时性事件等维度来展示各个类型</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工作</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的对比。</w:t>
      </w:r>
      <w:r/>
    </w:p>
    <w:p>
      <w:pPr>
        <w:pStyle w:val="785"/>
        <w:numPr>
          <w:ilvl w:val="0"/>
          <w:numId w:val="0"/>
        </w:numPr>
        <w:ind w:left="0" w:right="0" w:firstLine="480"/>
        <w:jc w:val="left"/>
        <w:keepLines w:val="0"/>
        <w:keepNext w:val="0"/>
        <w:pageBreakBefore w:val="0"/>
        <w:spacing w:before="0" w:after="0" w:line="560" w:lineRule="exact"/>
        <w:widowControl/>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outlineLvl w:val="0"/>
      </w:pPr>
      <w:r/>
      <w:bookmarkStart w:id="374" w:name="_Toc29831"/>
      <w:r/>
      <w:bookmarkStart w:id="375" w:name="_Toc11447"/>
      <w:r/>
      <w:bookmarkStart w:id="376" w:name="_Toc896"/>
      <w:r/>
      <w:bookmarkStart w:id="377" w:name="_Toc13634"/>
      <w:r/>
      <w:bookmarkStart w:id="378" w:name="_Toc26652"/>
      <w:r/>
      <w:bookmarkStart w:id="379" w:name="_Toc20638"/>
      <w:r/>
      <w:bookmarkStart w:id="380" w:name="_Toc7941"/>
      <w:r/>
      <w:bookmarkStart w:id="381" w:name="_Toc21052"/>
      <w:r/>
      <w:bookmarkStart w:id="382" w:name="_Toc4472"/>
      <w:r/>
      <w:bookmarkStart w:id="383" w:name="_Toc25755"/>
      <w:r/>
      <w:bookmarkStart w:id="384" w:name="_Toc9144"/>
      <w:r/>
      <w:bookmarkStart w:id="385" w:name="_Toc19624"/>
      <w:r/>
      <w:bookmarkStart w:id="386" w:name="_Toc12959"/>
      <w:r/>
      <w:bookmarkStart w:id="387" w:name="_Toc23444"/>
      <w:r/>
      <w:bookmarkStart w:id="388" w:name="_Toc27996"/>
      <w:r/>
      <w:bookmarkStart w:id="389" w:name="_Toc15354"/>
      <w:r/>
      <w:bookmarkStart w:id="390" w:name="_Toc5772"/>
      <w:r/>
      <w:bookmarkStart w:id="391" w:name="_Toc20523"/>
      <w:r/>
      <w:bookmarkStart w:id="392" w:name="_Toc27237"/>
      <w:r/>
      <w:bookmarkStart w:id="393" w:name="_Toc14877"/>
      <w:r/>
      <w:bookmarkStart w:id="394" w:name="_Toc25555"/>
      <w:r/>
      <w:bookmarkStart w:id="395" w:name="_Toc11384"/>
      <w:r/>
      <w:bookmarkStart w:id="396" w:name="_Toc32160"/>
      <w:r/>
      <w:bookmarkStart w:id="397" w:name="_Toc27010"/>
      <w:r/>
      <w:bookmarkStart w:id="398" w:name="_Toc7192"/>
      <w:r/>
      <w:bookmarkStart w:id="399" w:name="_Toc89"/>
      <w:r/>
      <w:bookmarkStart w:id="400" w:name="_Toc17205"/>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5、</w:t>
      </w:r>
      <w:r>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t xml:space="preserve">网络系统设计</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left"/>
        <w:spacing w:line="560" w:lineRule="exact"/>
        <w:widowControl/>
        <w:rPr>
          <w:rFonts w:hint="default" w:ascii="Times New Roman" w:hAnsi="Times New Roman" w:cs="Times New Roman" w:eastAsiaTheme="minorEastAsia"/>
          <w:color w:val="000000" w:themeColor="text1"/>
          <w:sz w:val="24"/>
          <w:szCs w:val="22"/>
          <w:highlight w:val="none"/>
          <w:lang w:val="en-US" w:eastAsia="zh-CN" w:bidi="zh-TW"/>
          <w14:textFill>
            <w14:solidFill>
              <w14:schemeClr w14:val="tx1"/>
            </w14:solidFill>
          </w14:textFill>
        </w:rPr>
      </w:pP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依托互联网</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信息</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处置平台</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一期</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项目现有网络系统开展建设升级，不改变原来的网络系统。新增互联网服务器1台</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CPU 8核、内存 16GB、硬盘 </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1</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TB</w:t>
      </w:r>
      <w:r>
        <w:rPr>
          <w:rFonts w:hint="eastAsia" w:ascii="宋体" w:hAnsi="宋体" w:eastAsia="Arial" w:cs="宋体"/>
          <w:color w:val="000000" w:themeColor="text1"/>
          <w:sz w:val="24"/>
          <w:szCs w:val="20"/>
          <w:highlight w:val="none"/>
          <w:lang w:val="en-US" w:eastAsia="zh-CN" w:bidi="ar-SA"/>
          <w14:textFill>
            <w14:solidFill>
              <w14:schemeClr w14:val="tx1"/>
            </w14:solidFill>
          </w14:textFill>
        </w:rPr>
        <w:t xml:space="preserve">）</w:t>
      </w:r>
      <w:r>
        <w:rPr>
          <w:rFonts w:hint="default" w:ascii="宋体" w:hAnsi="宋体" w:eastAsia="Arial" w:cs="宋体"/>
          <w:color w:val="000000" w:themeColor="text1"/>
          <w:sz w:val="24"/>
          <w:szCs w:val="20"/>
          <w:highlight w:val="none"/>
          <w:lang w:val="en-US" w:eastAsia="zh-CN" w:bidi="ar-SA"/>
          <w14:textFill>
            <w14:solidFill>
              <w14:schemeClr w14:val="tx1"/>
            </w14:solidFill>
          </w14:textFill>
        </w:rPr>
        <w:t xml:space="preserve">，由政务云资源提供。网络拓扑如下图所示：</w:t>
      </w:r>
      <w:r/>
    </w:p>
    <w:p>
      <w:pPr>
        <w:ind w:left="0" w:firstLine="0"/>
        <w:jc w:val="center"/>
        <w:spacing w:line="293" w:lineRule="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4494530" cy="4272280"/>
                <wp:effectExtent l="0" t="0" r="1270" b="1397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r/>
                      </pic:nvPicPr>
                      <pic:blipFill>
                        <a:blip r:embed="rId19"/>
                        <a:stretch/>
                      </pic:blipFill>
                      <pic:spPr bwMode="auto">
                        <a:xfrm>
                          <a:off x="0" y="0"/>
                          <a:ext cx="4494530" cy="427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3.9pt;height:336.4pt;mso-wrap-distance-left:0.0pt;mso-wrap-distance-top:0.0pt;mso-wrap-distance-right:0.0pt;mso-wrap-distance-bottom:0.0pt;" stroked="f">
                <v:path textboxrect="0,0,0,0"/>
                <v:imagedata r:id="rId19" o:title=""/>
              </v:shape>
            </w:pict>
          </mc:Fallback>
        </mc:AlternateContent>
      </w:r>
      <w:r/>
    </w:p>
    <w:p>
      <w:pPr>
        <w:jc w:val="center"/>
        <w:spacing w:line="560" w:lineRule="exact"/>
        <w:widowControl/>
        <w:rPr>
          <w:rFonts w:hint="default" w:ascii="Times New Roman" w:hAnsi="Times New Roman" w:cs="Times New Roman" w:eastAsiaTheme="minorEastAsia"/>
          <w:color w:val="000000" w:themeColor="text1"/>
          <w:sz w:val="24"/>
          <w:szCs w:val="22"/>
          <w:highlight w:val="none"/>
          <w:lang w:val="en-US" w:eastAsia="zh-CN" w:bidi="zh-TW"/>
          <w14:textFill>
            <w14:solidFill>
              <w14:schemeClr w14:val="tx1"/>
            </w14:solidFill>
          </w14:textFill>
        </w:rPr>
      </w:pPr>
      <w:r>
        <w:rPr>
          <w:rFonts w:hint="default" w:ascii="Times New Roman" w:hAnsi="Times New Roman" w:cs="Times New Roman" w:eastAsiaTheme="minorEastAsia"/>
          <w:color w:val="000000" w:themeColor="text1"/>
          <w:sz w:val="24"/>
          <w:szCs w:val="22"/>
          <w:highlight w:val="none"/>
          <w:lang w:val="en-US" w:eastAsia="zh-CN" w:bidi="zh-TW"/>
          <w14:textFill>
            <w14:solidFill>
              <w14:schemeClr w14:val="tx1"/>
            </w14:solidFill>
          </w14:textFill>
        </w:rPr>
        <w:t xml:space="preserve">网络拓扑图</w:t>
      </w:r>
      <w:r/>
    </w:p>
    <w:p>
      <w:pPr>
        <w:pStyle w:val="785"/>
        <w:numPr>
          <w:ilvl w:val="0"/>
          <w:numId w:val="0"/>
        </w:numPr>
        <w:ind w:left="0" w:right="0" w:firstLine="480"/>
        <w:jc w:val="left"/>
        <w:keepLines w:val="0"/>
        <w:keepNext w:val="0"/>
        <w:pageBreakBefore w:val="0"/>
        <w:spacing w:before="0" w:after="0" w:line="560" w:lineRule="exact"/>
        <w:widowControl/>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outlineLvl w:val="0"/>
      </w:pPr>
      <w:r/>
      <w:bookmarkStart w:id="401" w:name="_Toc26656"/>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6、</w:t>
      </w:r>
      <w:r>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t xml:space="preserve">系统安全设计</w:t>
      </w:r>
      <w:bookmarkEnd w:id="401"/>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bookmarkStart w:id="402" w:name="_Toc6924"/>
      <w:r/>
      <w:bookmarkStart w:id="403" w:name="_Toc10381"/>
      <w:r/>
      <w:bookmarkStart w:id="404" w:name="_Toc5465"/>
      <w:r/>
      <w:bookmarkStart w:id="405" w:name="_Toc10501"/>
      <w:r/>
      <w:bookmarkStart w:id="406" w:name="_Toc14705"/>
      <w:r/>
      <w:bookmarkStart w:id="407" w:name="_Toc23673"/>
      <w:r/>
      <w:bookmarkStart w:id="408" w:name="_Toc8887"/>
      <w:r/>
      <w:bookmarkStart w:id="409" w:name="_Toc26400"/>
      <w:r/>
      <w:bookmarkStart w:id="410" w:name="_Toc421"/>
      <w:r/>
      <w:bookmarkStart w:id="411" w:name="_Toc30908"/>
      <w:r/>
      <w:bookmarkStart w:id="412" w:name="_Toc1320"/>
      <w:r/>
      <w:bookmarkStart w:id="413" w:name="_Toc8238"/>
      <w:r/>
      <w:bookmarkStart w:id="414" w:name="_Toc24195"/>
      <w:r/>
      <w:bookmarkStart w:id="415" w:name="_Toc9857"/>
      <w:r/>
      <w:bookmarkStart w:id="416" w:name="_Toc21209"/>
      <w:r/>
      <w:bookmarkStart w:id="417" w:name="_Toc19533"/>
      <w:r/>
      <w:bookmarkStart w:id="418" w:name="_Toc11969"/>
      <w:r/>
      <w:bookmarkStart w:id="419" w:name="_Toc3710"/>
      <w:r/>
      <w:bookmarkStart w:id="420" w:name="_Toc13573"/>
      <w:r/>
      <w:bookmarkStart w:id="421" w:name="_Toc130808761"/>
      <w:r/>
      <w:bookmarkStart w:id="422" w:name="_Toc1481339606"/>
      <w:r/>
      <w:bookmarkStart w:id="423" w:name="_Toc32080"/>
      <w:r>
        <w:rPr>
          <w:rFonts w:hint="eastAsia" w:eastAsia="Arial" w:cs="宋体"/>
          <w:b w:val="0"/>
          <w:bCs w:val="0"/>
          <w:color w:val="000000" w:themeColor="text1"/>
          <w:sz w:val="24"/>
          <w:szCs w:val="20"/>
          <w:highlight w:val="none"/>
          <w:lang w:val="en-US" w:eastAsia="zh-CN" w:bidi="ar-SA"/>
          <w14:textFill>
            <w14:solidFill>
              <w14:schemeClr w14:val="tx1"/>
            </w14:solidFill>
          </w14:textFill>
        </w:rPr>
        <w:t xml:space="preserve">6</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1</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 网络安全设计</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82"/>
        <w:keepLines w:val="0"/>
        <w:keepNext w:val="0"/>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平台沿用一期系统部署方式，在原有服务器上延伸开发，所有安全标准应按照盐城市公安局网络安全标准要求进行建设。</w:t>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（1）入侵防范</w:t>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依托华为政务云服务系统网络环境，在网络边界监视端口处实时扫描强力攻击、木马后门攻击、拒绝服务攻击、缓冲区溢出攻击、IP碎片攻击和网络蠕虫攻击等行为，加强终端节点安全，阻止病毒入侵。在</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安全区域边界部署有防火墙，对由外部发起的网络攻击行为进行检测、防御和记录。</w:t>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（2）访问控制</w:t>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系统的互联网服务器部署在华为政务云服务系统，依托华为政务云网络防护措施，实现平台访问控制功能。在</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公安内部网络</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安全区域边界部署有防火墙，启用访问控制功能，根据业务需求配置并启用访问控制策略。</w:t>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（3）安全审计</w:t>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开启安全审计功能，对所有重要的用户行为和重要安全事件进行审计，审计范围覆盖系统内所有用户。设备系统日志包括时间日期、用户名、IP地址、信息来源、信息级别；操作日志包括时间日期、用户名、操作内容等。设备审计日志仅授权用户可进行访问，同时日志记录实时传输到日志审计，审计日志每月全备至本地保存，可对审计记录进行保护。</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bookmarkStart w:id="424" w:name="_Toc10932"/>
      <w:r/>
      <w:bookmarkStart w:id="425" w:name="_Toc26784"/>
      <w:r/>
      <w:bookmarkStart w:id="426" w:name="_Toc19246"/>
      <w:r/>
      <w:bookmarkStart w:id="427" w:name="_Toc18304"/>
      <w:r/>
      <w:bookmarkStart w:id="428" w:name="_Toc19582"/>
      <w:r/>
      <w:bookmarkStart w:id="429" w:name="_Toc17665"/>
      <w:r/>
      <w:bookmarkStart w:id="430" w:name="_Toc12529"/>
      <w:r/>
      <w:bookmarkStart w:id="431" w:name="_Toc7876"/>
      <w:r/>
      <w:bookmarkStart w:id="432" w:name="_Toc13097"/>
      <w:r/>
      <w:bookmarkStart w:id="433" w:name="_Toc12961"/>
      <w:r/>
      <w:bookmarkStart w:id="434" w:name="_Toc29354"/>
      <w:r/>
      <w:bookmarkStart w:id="435" w:name="_Toc13849"/>
      <w:r/>
      <w:bookmarkStart w:id="436" w:name="_Toc12315"/>
      <w:r/>
      <w:bookmarkStart w:id="437" w:name="_Toc9640"/>
      <w:r/>
      <w:bookmarkStart w:id="438" w:name="_Toc27920"/>
      <w:r/>
      <w:bookmarkStart w:id="439" w:name="_Toc31651"/>
      <w:r/>
      <w:bookmarkStart w:id="440" w:name="_Toc32002"/>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6</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2</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 业务安全管理</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对于系统的业务安全来说，系统在以下几个方面对安全性方面进行了相应的设计：</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（1）对关键数据的加密存放，如用户、操作人员的密码等；</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（2）对关键数据的校验存放，如接口信息的校验串设计；</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3）对关键数据的日志记录，系统严格的留痕设计，对于重要的操作均采用独立的流水记录，保证相关业务的发生均有相应的记录，保存处理时的关键信息；而对于一般性的操作，则通过日志记录的方式，确保重要的信息能得以保存，供后续的查证使用；</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4）对业务操作的严格权限检查，任何业务的操作，在应用服务器处理层，均需进行相应的功能与权限检查，包括菜单与功能的两级权限检查、用户身份与操作权限的检查、使用人员身份与操作权限的检查、业务本身处理要求的检查等，防止一切非法的调用，确保系统的业务处理的安全性；</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（5）对业务操作的严格控制性检查，可设置用户、使用人员的站点限制，设置用户与使用人员可操作的对象限制等；</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6）对业务可自定义审核设计，可通过对业务操作的参数化定义，来设置对业务处理的不同等级的审核要求，确保业务在处理前，通过不同使用人员的审核，来保证业务处理的合法性与合理性，防范意外事件的发生；</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（7）对系统的运行监控设计，可监控系统的网络状况、业务处理情况以及数据交换的情况等，从而可有效地及时发现异常事件的发生。</w:t>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bookmarkStart w:id="441" w:name="_Toc6702"/>
      <w:r/>
      <w:bookmarkStart w:id="442" w:name="_Toc28878"/>
      <w:r/>
      <w:bookmarkStart w:id="443" w:name="_Toc19474"/>
      <w:r/>
      <w:bookmarkStart w:id="444" w:name="_Toc14958"/>
      <w:r/>
      <w:bookmarkStart w:id="445" w:name="_Toc29631"/>
      <w:r/>
      <w:bookmarkStart w:id="446" w:name="_Toc24267"/>
      <w:r/>
      <w:bookmarkStart w:id="447" w:name="_Toc4660"/>
      <w:r/>
      <w:bookmarkStart w:id="448" w:name="_Toc19987"/>
      <w:r/>
      <w:bookmarkStart w:id="449" w:name="_Toc1071"/>
      <w:r/>
      <w:bookmarkStart w:id="450" w:name="_Toc17784"/>
      <w:r/>
      <w:bookmarkStart w:id="451" w:name="_Toc13560"/>
      <w:r/>
      <w:bookmarkStart w:id="452" w:name="_Toc31145"/>
      <w:r/>
      <w:bookmarkStart w:id="453" w:name="_Toc12003"/>
      <w:r/>
      <w:bookmarkStart w:id="454" w:name="_Toc4138"/>
      <w:r/>
      <w:bookmarkStart w:id="455" w:name="_Toc31703"/>
      <w:r/>
      <w:bookmarkStart w:id="456" w:name="_Toc18850"/>
      <w:r/>
      <w:bookmarkStart w:id="457" w:name="_Toc17169"/>
      <w:r/>
      <w:bookmarkStart w:id="458" w:name="_Toc13169"/>
      <w:r/>
      <w:bookmarkStart w:id="459" w:name="_Toc130808763"/>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6</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3</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 备份恢复体系</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outlineLvl w:val="1"/>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建立数据备份和恢复体系，制订完善的数据备份、恢复计划，在系统出现故障时可以快速地恢复。通过设置备份策略，实现数据的自动定时备份，以保证数据的安全性。</w:t>
      </w:r>
      <w:bookmarkStart w:id="460" w:name="_Toc18590"/>
      <w:r/>
      <w:r/>
    </w:p>
    <w:p>
      <w:pPr>
        <w:pStyle w:val="786"/>
        <w:numPr>
          <w:ilvl w:val="0"/>
          <w:numId w:val="0"/>
        </w:numPr>
        <w:ind w:left="0" w:right="0" w:firstLine="480"/>
        <w:jc w:val="both"/>
        <w:keepLines w:val="0"/>
        <w:keepNext w:val="0"/>
        <w:pageBreakBefore w:val="0"/>
        <w:spacing w:before="0" w:beforeAutospacing="0" w:after="0" w:afterAutospacing="0" w:line="560" w:lineRule="exact"/>
        <w:widowControl/>
        <w:rPr>
          <w:rFonts w:hint="default" w:ascii="宋体" w:hAnsi="宋体" w:eastAsia="宋体" w:cs="宋体"/>
          <w:b/>
          <w:bCs/>
          <w:color w:val="000000" w:themeColor="text1"/>
          <w:sz w:val="24"/>
          <w:szCs w:val="20"/>
          <w:highlight w:val="none"/>
          <w:lang w:val="en-US" w:eastAsia="zh-CN" w:bidi="ar-SA"/>
          <w14:textFill>
            <w14:solidFill>
              <w14:schemeClr w14:val="tx1"/>
            </w14:solidFill>
          </w14:textFill>
        </w:rPr>
        <w:outlineLvl w:val="1"/>
      </w:pPr>
      <w:r/>
      <w:bookmarkStart w:id="461" w:name="_Toc28047"/>
      <w:r/>
      <w:bookmarkStart w:id="462" w:name="_Toc24710"/>
      <w:r/>
      <w:bookmarkStart w:id="463" w:name="_Toc28896"/>
      <w:r/>
      <w:bookmarkStart w:id="464" w:name="_Toc17768"/>
      <w:r/>
      <w:bookmarkStart w:id="465" w:name="_Toc5725"/>
      <w:r/>
      <w:bookmarkStart w:id="466" w:name="_Toc17140"/>
      <w:r/>
      <w:bookmarkStart w:id="467" w:name="_Toc19670"/>
      <w:r/>
      <w:bookmarkStart w:id="468" w:name="_Toc22890"/>
      <w:r/>
      <w:bookmarkStart w:id="469" w:name="_Toc25290"/>
      <w:r/>
      <w:bookmarkStart w:id="470" w:name="_Toc2712"/>
      <w:r/>
      <w:bookmarkStart w:id="471" w:name="_Toc15790"/>
      <w:r>
        <w:rPr>
          <w:rFonts w:hint="eastAsia" w:eastAsia="Arial" w:cs="宋体"/>
          <w:b/>
          <w:bCs/>
          <w:color w:val="000000" w:themeColor="text1"/>
          <w:sz w:val="24"/>
          <w:szCs w:val="20"/>
          <w:highlight w:val="none"/>
          <w:lang w:val="en-US" w:eastAsia="zh-CN" w:bidi="ar-SA"/>
          <w14:textFill>
            <w14:solidFill>
              <w14:schemeClr w14:val="tx1"/>
            </w14:solidFill>
          </w14:textFill>
        </w:rPr>
        <w:t xml:space="preserve">7</w:t>
      </w:r>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w:t>
      </w:r>
      <w:bookmarkEnd w:id="461"/>
      <w:r/>
      <w:bookmarkEnd w:id="462"/>
      <w:r/>
      <w:bookmarkEnd w:id="463"/>
      <w:r/>
      <w:bookmarkEnd w:id="464"/>
      <w:r/>
      <w:bookmarkEnd w:id="465"/>
      <w:r/>
      <w:bookmarkEnd w:id="466"/>
      <w:r/>
      <w:bookmarkEnd w:id="467"/>
      <w:r/>
      <w:bookmarkEnd w:id="468"/>
      <w:r/>
      <w:bookmarkEnd w:id="469"/>
      <w:r/>
      <w:bookmarkEnd w:id="470"/>
      <w:r/>
      <w:bookmarkEnd w:id="471"/>
      <w:r>
        <w:rPr>
          <w:rFonts w:ascii="宋体" w:hAnsi="宋体" w:eastAsia="Arial" w:cs="宋体"/>
          <w:b/>
          <w:bCs/>
          <w:color w:val="auto"/>
          <w:sz w:val="24"/>
          <w:szCs w:val="20"/>
          <w:highlight w:val="none"/>
        </w:rPr>
        <w:t xml:space="preserve">基础设施与应用支撑</w:t>
      </w:r>
      <w:r/>
    </w:p>
    <w:p>
      <w:pPr>
        <w:ind w:firstLine="482"/>
        <w:jc w:val="left"/>
        <w:spacing w:line="560" w:lineRule="exact"/>
        <w:widowControl/>
        <w:rPr>
          <w:rFonts w:hint="eastAsia" w:ascii="宋体" w:hAnsi="宋体" w:eastAsia="宋体" w:cs="宋体"/>
          <w:b w:val="0"/>
          <w:bCs w:val="0"/>
          <w:i/>
          <w:iCs/>
          <w:color w:val="000000" w:themeColor="text1"/>
          <w:sz w:val="24"/>
          <w:szCs w:val="20"/>
          <w:highlight w:val="none"/>
          <w:u w:val="single"/>
          <w:lang w:val="en-US" w:eastAsia="zh-CN" w:bidi="ar-SA"/>
          <w14:textFill>
            <w14:solidFill>
              <w14:schemeClr w14:val="tx1"/>
            </w14:solidFill>
          </w14:textFill>
        </w:rPr>
      </w:pPr>
      <w:r>
        <w:rPr>
          <w:rFonts w:ascii="Arial" w:hAnsi="Arial" w:eastAsia="Arial" w:cs="Arial"/>
          <w:b/>
          <w:bCs/>
          <w:i/>
          <w:iCs/>
          <w:color w:val="000000" w:themeColor="text1"/>
          <w:sz w:val="24"/>
          <w:highlight w:val="none"/>
          <w:u w:val="single"/>
          <w14:textFill>
            <w14:solidFill>
              <w14:schemeClr w14:val="tx1"/>
            </w14:solidFill>
          </w14:textFill>
        </w:rPr>
        <w:t xml:space="preserve">▲</w:t>
      </w:r>
      <w:r>
        <w:rPr>
          <w:rFonts w:hint="eastAsia" w:ascii="宋体" w:hAnsi="宋体" w:eastAsia="Arial" w:cs="宋体"/>
          <w:b/>
          <w:bCs/>
          <w:i/>
          <w:iCs/>
          <w:color w:val="auto"/>
          <w:sz w:val="24"/>
          <w:szCs w:val="20"/>
          <w:highlight w:val="none"/>
          <w:u w:val="single"/>
        </w:rPr>
        <w:t xml:space="preserve">本项目所需硬件资源（含云主机、云存储、网络安全硬件资源等）及操作系统、数据库（中间件）等均由盐城政务云提供，操作系统、数据库均须采用有效期内的安全可靠测评Ⅰ级及以上产品，详见安全可靠测评网站（https://www.itsec.gov.cn/aqkkcp/cpgg/）。（在响应文件中提供承诺函，格式自拟）</w:t>
      </w:r>
      <w:r>
        <w:rPr>
          <w:rFonts w:ascii="宋体" w:hAnsi="宋体" w:eastAsia="Arial" w:cs="宋体"/>
          <w:b/>
          <w:bCs/>
          <w:i/>
          <w:iCs/>
          <w:color w:val="auto"/>
          <w:sz w:val="24"/>
          <w:szCs w:val="20"/>
          <w:highlight w:val="none"/>
          <w:u w:val="single"/>
        </w:rPr>
        <w:t xml:space="preserve">由</w:t>
      </w:r>
      <w:r>
        <w:rPr>
          <w:rFonts w:hint="eastAsia" w:ascii="宋体" w:hAnsi="宋体" w:eastAsia="Arial" w:cs="宋体"/>
          <w:b/>
          <w:bCs/>
          <w:i/>
          <w:iCs/>
          <w:color w:val="auto"/>
          <w:sz w:val="24"/>
          <w:szCs w:val="20"/>
          <w:highlight w:val="none"/>
          <w:u w:val="single"/>
        </w:rPr>
        <w:t xml:space="preserve">投</w:t>
      </w:r>
      <w:r>
        <w:rPr>
          <w:rFonts w:ascii="宋体" w:hAnsi="宋体" w:eastAsia="Arial" w:cs="宋体"/>
          <w:b/>
          <w:bCs/>
          <w:i/>
          <w:iCs/>
          <w:color w:val="auto"/>
          <w:sz w:val="24"/>
          <w:szCs w:val="20"/>
          <w:highlight w:val="none"/>
          <w:u w:val="single"/>
        </w:rPr>
        <w:t xml:space="preserve">标方确认盐城政务云可提供资源，若盐城政务云不能提供</w:t>
      </w:r>
      <w:r>
        <w:rPr>
          <w:rFonts w:hint="eastAsia" w:ascii="宋体" w:hAnsi="宋体" w:eastAsia="Arial" w:cs="宋体"/>
          <w:b/>
          <w:bCs/>
          <w:i/>
          <w:iCs/>
          <w:color w:val="auto"/>
          <w:sz w:val="24"/>
          <w:szCs w:val="20"/>
          <w:highlight w:val="none"/>
          <w:u w:val="single"/>
        </w:rPr>
        <w:t xml:space="preserve">投</w:t>
      </w:r>
      <w:r>
        <w:rPr>
          <w:rFonts w:ascii="宋体" w:hAnsi="宋体" w:eastAsia="Arial" w:cs="宋体"/>
          <w:b/>
          <w:bCs/>
          <w:i/>
          <w:iCs/>
          <w:color w:val="auto"/>
          <w:sz w:val="24"/>
          <w:szCs w:val="20"/>
          <w:highlight w:val="none"/>
          <w:u w:val="single"/>
        </w:rPr>
        <w:t xml:space="preserve">标方要求的软硬件资源，应</w:t>
      </w:r>
      <w:r>
        <w:rPr>
          <w:rFonts w:hint="eastAsia" w:ascii="宋体" w:hAnsi="宋体" w:eastAsia="Arial" w:cs="宋体"/>
          <w:b/>
          <w:bCs/>
          <w:i/>
          <w:iCs/>
          <w:color w:val="auto"/>
          <w:sz w:val="24"/>
          <w:szCs w:val="20"/>
          <w:highlight w:val="none"/>
          <w:u w:val="single"/>
        </w:rPr>
        <w:t xml:space="preserve">由投</w:t>
      </w:r>
      <w:r>
        <w:rPr>
          <w:rFonts w:ascii="宋体" w:hAnsi="宋体" w:eastAsia="Arial" w:cs="宋体"/>
          <w:b/>
          <w:bCs/>
          <w:i/>
          <w:iCs/>
          <w:color w:val="auto"/>
          <w:sz w:val="24"/>
          <w:szCs w:val="20"/>
          <w:highlight w:val="none"/>
          <w:u w:val="single"/>
        </w:rPr>
        <w:t xml:space="preserve">标方无偿提供</w:t>
      </w:r>
      <w:r>
        <w:rPr>
          <w:rFonts w:hint="eastAsia" w:ascii="宋体" w:hAnsi="宋体" w:eastAsia="Arial" w:cs="宋体"/>
          <w:b/>
          <w:bCs/>
          <w:i/>
          <w:iCs/>
          <w:color w:val="auto"/>
          <w:sz w:val="24"/>
          <w:szCs w:val="20"/>
          <w:highlight w:val="none"/>
          <w:u w:val="single"/>
        </w:rPr>
        <w:t xml:space="preserve">符合</w:t>
      </w:r>
      <w:r>
        <w:rPr>
          <w:rFonts w:ascii="宋体" w:hAnsi="宋体" w:eastAsia="Arial" w:cs="宋体"/>
          <w:b/>
          <w:bCs/>
          <w:i/>
          <w:iCs/>
          <w:color w:val="auto"/>
          <w:sz w:val="24"/>
          <w:szCs w:val="20"/>
          <w:highlight w:val="none"/>
          <w:u w:val="single"/>
        </w:rPr>
        <w:t xml:space="preserve">相关要求的所有资源。</w:t>
      </w:r>
      <w:bookmarkEnd w:id="460"/>
      <w:r/>
      <w:r/>
    </w:p>
    <w:p>
      <w:pPr>
        <w:ind w:firstLine="482"/>
        <w:jc w:val="left"/>
        <w:spacing w:line="560" w:lineRule="exact"/>
        <w:widowControl/>
        <w:rPr>
          <w:rFonts w:ascii="宋体" w:hAnsi="宋体" w:eastAsia="Arial" w:cs="宋体"/>
          <w:b/>
          <w:bCs/>
          <w:i/>
          <w:iCs/>
          <w:color w:val="auto"/>
          <w:sz w:val="24"/>
          <w:szCs w:val="20"/>
          <w:highlight w:val="none"/>
          <w:u w:val="single"/>
        </w:rPr>
      </w:pPr>
      <w:r>
        <w:rPr>
          <w:rFonts w:hint="eastAsia" w:ascii="宋体" w:hAnsi="宋体" w:eastAsia="Arial" w:cs="宋体"/>
          <w:b/>
          <w:bCs/>
          <w:i/>
          <w:iCs/>
          <w:color w:val="auto"/>
          <w:sz w:val="24"/>
          <w:szCs w:val="20"/>
          <w:highlight w:val="none"/>
          <w:u w:val="single"/>
          <w:lang w:val="en-US" w:eastAsia="zh-CN"/>
        </w:rPr>
        <w:t xml:space="preserve">注：</w:t>
      </w:r>
      <w:r>
        <w:rPr>
          <w:rFonts w:hint="eastAsia" w:ascii="宋体" w:hAnsi="宋体" w:eastAsia="Arial" w:cs="宋体"/>
          <w:b/>
          <w:bCs/>
          <w:i/>
          <w:iCs/>
          <w:color w:val="auto"/>
          <w:sz w:val="24"/>
          <w:szCs w:val="20"/>
          <w:highlight w:val="none"/>
          <w:u w:val="single"/>
        </w:rPr>
        <w:t xml:space="preserve">本项目招标文件中标注</w:t>
      </w:r>
      <w:r>
        <w:rPr>
          <w:rFonts w:ascii="Arial" w:hAnsi="Arial" w:eastAsia="Arial" w:cs="Arial"/>
          <w:b/>
          <w:bCs/>
          <w:i/>
          <w:iCs/>
          <w:color w:val="000000" w:themeColor="text1"/>
          <w:sz w:val="24"/>
          <w:highlight w:val="none"/>
          <w:u w:val="single"/>
          <w14:textFill>
            <w14:solidFill>
              <w14:schemeClr w14:val="tx1"/>
            </w14:solidFill>
          </w14:textFill>
        </w:rPr>
        <w:t xml:space="preserve">▲</w:t>
      </w:r>
      <w:r>
        <w:rPr>
          <w:rFonts w:hint="eastAsia" w:ascii="宋体" w:hAnsi="宋体" w:eastAsia="Arial" w:cs="宋体"/>
          <w:b/>
          <w:bCs/>
          <w:i/>
          <w:iCs/>
          <w:color w:val="auto"/>
          <w:sz w:val="24"/>
          <w:szCs w:val="20"/>
          <w:highlight w:val="none"/>
          <w:u w:val="single"/>
        </w:rPr>
        <w:t xml:space="preserve">为实质性要求，不允许负偏离，否则为无效投标。</w:t>
      </w:r>
      <w:r/>
    </w:p>
    <w:p>
      <w:pPr>
        <w:ind w:firstLine="480"/>
        <w:pageBreakBefore w:val="0"/>
        <w:spacing w:line="560" w:lineRule="exact"/>
        <w:rPr>
          <w:rFonts w:hint="default" w:ascii="宋体" w:hAnsi="宋体" w:eastAsia="Arial"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8、等保测评与第三方测试</w:t>
      </w:r>
      <w:r/>
    </w:p>
    <w:p>
      <w:pPr>
        <w:ind w:left="0" w:right="0" w:firstLine="480"/>
        <w:spacing w:before="0" w:after="0" w:line="519" w:lineRule="atLeas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本项目按</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二</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级等保测评要求建设（参照一期等保要求），投标报价中同时包含</w:t>
      </w:r>
      <w:r>
        <w:rPr>
          <w:rFonts w:hint="eastAsia" w:ascii="宋体" w:hAnsi="宋体" w:eastAsia="宋体"/>
          <w:color w:val="000000" w:themeColor="text1"/>
          <w:sz w:val="24"/>
          <w:highlight w:val="none"/>
          <w14:textFill>
            <w14:solidFill>
              <w14:schemeClr w14:val="tx1"/>
            </w14:solidFill>
          </w14:textFill>
        </w:rPr>
        <w:t xml:space="preserve">等保测评</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费用</w:t>
      </w:r>
      <w:r>
        <w:rPr>
          <w:rFonts w:hint="eastAsia" w:ascii="宋体" w:hAnsi="宋体" w:eastAsia="宋体"/>
          <w:color w:val="000000" w:themeColor="text1"/>
          <w:sz w:val="24"/>
          <w:highlight w:val="none"/>
          <w:lang w:val="en-US" w:eastAsia="zh-CN"/>
          <w14:textFill>
            <w14:solidFill>
              <w14:schemeClr w14:val="tx1"/>
            </w14:solidFill>
          </w14:textFill>
        </w:rPr>
        <w:t xml:space="preserve">和</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软件评测费用。</w:t>
      </w:r>
      <w:r/>
    </w:p>
    <w:p>
      <w:pPr>
        <w:ind w:firstLine="480"/>
        <w:pageBreakBefore w:val="0"/>
        <w:spacing w:line="560" w:lineRule="exact"/>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pPr>
      <w:r/>
      <w:bookmarkStart w:id="472" w:name="_Toc20093"/>
      <w:r/>
      <w:bookmarkStart w:id="473" w:name="_Toc1796_WPSOffice_Level3"/>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9、运行维护</w:t>
      </w:r>
      <w:bookmarkEnd w:id="472"/>
      <w:r/>
      <w:r/>
    </w:p>
    <w:p>
      <w:pPr>
        <w:numPr>
          <w:ilvl w:val="0"/>
          <w:numId w:val="0"/>
        </w:numPr>
        <w:ind w:firstLine="480"/>
        <w:jc w:val="left"/>
        <w:spacing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二期平台开发完成后，需提供3年免费运维。运维内容主要包括软件日常维护、功能故障维护、定期巡查平台功能、软件培训等工作。</w:t>
      </w:r>
      <w:r/>
    </w:p>
    <w:p>
      <w:pPr>
        <w:ind w:firstLine="480"/>
        <w:pageBreakBefore w:val="0"/>
        <w:spacing w:line="560" w:lineRule="exact"/>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pPr>
      <w:r/>
      <w:bookmarkStart w:id="474" w:name="_Toc13397"/>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10、土建及配套工程</w:t>
      </w:r>
      <w:bookmarkEnd w:id="473"/>
      <w:r/>
      <w:bookmarkEnd w:id="474"/>
      <w:r/>
      <w:r/>
    </w:p>
    <w:p>
      <w:pPr>
        <w:ind w:firstLine="480"/>
        <w:jc w:val="left"/>
        <w:spacing w:line="560" w:lineRule="exact"/>
        <w:widowControl/>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本项目平台部署在公安机房内，无需另建机房，无其他配套功能建设。</w:t>
      </w:r>
      <w:r/>
    </w:p>
    <w:p>
      <w:pPr>
        <w:ind w:firstLine="480"/>
        <w:pageBreakBefore w:val="0"/>
        <w:spacing w:line="560" w:lineRule="exact"/>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pPr>
      <w:r/>
      <w:bookmarkStart w:id="475" w:name="_Toc28503_WPSOffice_Level3"/>
      <w:r/>
      <w:bookmarkStart w:id="476" w:name="_Toc14358"/>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11、与数字盐城底座和公共能力的关系</w:t>
      </w:r>
      <w:bookmarkEnd w:id="475"/>
      <w:r/>
      <w:bookmarkEnd w:id="476"/>
      <w:r/>
      <w:r/>
    </w:p>
    <w:p>
      <w:pPr>
        <w:ind w:firstLine="482"/>
        <w:pageBreakBefore w:val="0"/>
        <w:spacing w:line="560" w:lineRule="exact"/>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pP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系统产生的信息不适宜与外部机构</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直接</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共享。根据公安</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机关</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数据共享规范，系统产生的数据将归集共享到市公安局</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数据管理</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部门，暂不考虑直接接入数字底座。后续如有归集共享需要，</w:t>
      </w:r>
      <w:r>
        <w:rPr>
          <w:rFonts w:hint="eastAsia"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将</w:t>
      </w:r>
      <w:r>
        <w:rPr>
          <w:rFonts w:hint="default" w:ascii="宋体" w:hAnsi="宋体" w:eastAsia="Arial" w:cs="宋体"/>
          <w:b w:val="0"/>
          <w:bCs w:val="0"/>
          <w:color w:val="000000" w:themeColor="text1"/>
          <w:sz w:val="24"/>
          <w:szCs w:val="20"/>
          <w:highlight w:val="none"/>
          <w:lang w:val="en-US" w:eastAsia="zh-CN" w:bidi="ar-SA"/>
          <w14:textFill>
            <w14:solidFill>
              <w14:schemeClr w14:val="tx1"/>
            </w14:solidFill>
          </w14:textFill>
        </w:rPr>
        <w:t xml:space="preserve">通过市公安局统一出口与数字底座对接。</w:t>
      </w:r>
      <w:r/>
    </w:p>
    <w:p>
      <w:pPr>
        <w:ind w:firstLine="482"/>
        <w:pageBreakBefore w:val="0"/>
        <w:spacing w:line="560" w:lineRule="exact"/>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二、平台（二期）软件开发项目清单</w:t>
      </w:r>
      <w:r/>
    </w:p>
    <w:tbl>
      <w:tblPr>
        <w:tblStyle w:val="795"/>
        <w:tblW w:w="8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301"/>
        <w:gridCol w:w="1500"/>
        <w:gridCol w:w="1707"/>
        <w:gridCol w:w="3190"/>
      </w:tblGrid>
      <w:tr>
        <w:trPr>
          <w:jc w:val="center"/>
          <w:trHeight w:val="540"/>
        </w:trPr>
        <w:tc>
          <w:tcPr>
            <w:shd w:val="clear" w:color="auto" w:fill="f1f1f1" w:themeFill="background1" w:themeFillShade="F2"/>
            <w:tcW w:w="973"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b/>
                <w:bCs/>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shd w:val="clear" w:color="auto" w:fill="auto"/>
                <w:lang w:val="en-US" w:eastAsia="zh-CN" w:bidi="ar"/>
                <w14:textFill>
                  <w14:solidFill>
                    <w14:schemeClr w14:val="tx1"/>
                  </w14:solidFill>
                </w14:textFill>
              </w:rPr>
              <w:t xml:space="preserve">编号</w:t>
            </w:r>
            <w:r/>
          </w:p>
        </w:tc>
        <w:tc>
          <w:tcPr>
            <w:shd w:val="clear" w:color="auto" w:fill="f1f1f1" w:themeFill="background1" w:themeFillShade="F2"/>
            <w:tcW w:w="1301"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b/>
                <w:bCs/>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shd w:val="clear" w:color="auto" w:fill="auto"/>
                <w:lang w:val="en-US" w:eastAsia="zh-CN" w:bidi="ar"/>
                <w14:textFill>
                  <w14:solidFill>
                    <w14:schemeClr w14:val="tx1"/>
                  </w14:solidFill>
                </w14:textFill>
              </w:rPr>
              <w:t xml:space="preserve">子系统</w:t>
            </w:r>
            <w:r/>
          </w:p>
        </w:tc>
        <w:tc>
          <w:tcPr>
            <w:shd w:val="clear" w:color="auto" w:fill="f1f1f1" w:themeFill="background1" w:themeFillShade="F2"/>
            <w:tcW w:w="150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b/>
                <w:bCs/>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shd w:val="clear" w:color="auto" w:fill="auto"/>
                <w:lang w:val="en-US" w:eastAsia="zh-CN" w:bidi="ar"/>
                <w14:textFill>
                  <w14:solidFill>
                    <w14:schemeClr w14:val="tx1"/>
                  </w14:solidFill>
                </w14:textFill>
              </w:rPr>
              <w:t xml:space="preserve">一级模块</w:t>
            </w:r>
            <w:r/>
          </w:p>
        </w:tc>
        <w:tc>
          <w:tcPr>
            <w:shd w:val="clear" w:color="auto" w:fill="f1f1f1" w:themeFill="background1" w:themeFillShade="F2"/>
            <w:tcW w:w="1707"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b/>
                <w:bCs/>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shd w:val="clear" w:color="auto" w:fill="auto"/>
                <w:lang w:val="en-US" w:eastAsia="zh-CN" w:bidi="ar"/>
                <w14:textFill>
                  <w14:solidFill>
                    <w14:schemeClr w14:val="tx1"/>
                  </w14:solidFill>
                </w14:textFill>
              </w:rPr>
              <w:t xml:space="preserve">二级模块</w:t>
            </w:r>
            <w:r/>
          </w:p>
        </w:tc>
        <w:tc>
          <w:tcPr>
            <w:shd w:val="clear" w:color="auto" w:fill="f1f1f1" w:themeFill="background1" w:themeFillShade="F2"/>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b/>
                <w:bCs/>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shd w:val="clear" w:color="auto" w:fill="auto"/>
                <w:lang w:val="en-US" w:eastAsia="zh-CN" w:bidi="ar"/>
                <w14:textFill>
                  <w14:solidFill>
                    <w14:schemeClr w14:val="tx1"/>
                  </w14:solidFill>
                </w14:textFill>
              </w:rPr>
              <w:t xml:space="preserve">功能点计数项名称</w:t>
            </w:r>
            <w:r/>
          </w:p>
        </w:tc>
      </w:tr>
      <w:tr>
        <w:trPr>
          <w:jc w:val="center"/>
          <w:trHeight w:val="37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互联网端</w:t>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信息整合</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企业协作社群信息识别</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账号添加</w:t>
            </w:r>
            <w:r/>
          </w:p>
        </w:tc>
      </w:tr>
      <w:tr>
        <w:trPr>
          <w:jc w:val="center"/>
          <w:trHeight w:val="406"/>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数据获取</w:t>
            </w:r>
            <w:r/>
          </w:p>
        </w:tc>
      </w:tr>
      <w:tr>
        <w:trPr>
          <w:jc w:val="center"/>
          <w:trHeight w:val="436"/>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数据去重</w:t>
            </w:r>
            <w:r/>
          </w:p>
        </w:tc>
      </w:tr>
      <w:tr>
        <w:trPr>
          <w:jc w:val="center"/>
          <w:trHeight w:val="451"/>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数据报送</w:t>
            </w:r>
            <w:r/>
          </w:p>
        </w:tc>
      </w:tr>
      <w:tr>
        <w:trPr>
          <w:jc w:val="center"/>
          <w:trHeight w:val="421"/>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机器人自动下发</w:t>
            </w:r>
            <w:r/>
          </w:p>
        </w:tc>
      </w:tr>
      <w:tr>
        <w:trPr>
          <w:jc w:val="center"/>
          <w:trHeight w:val="456"/>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群列表</w:t>
            </w:r>
            <w:r/>
          </w:p>
        </w:tc>
      </w:tr>
      <w:tr>
        <w:trPr>
          <w:jc w:val="center"/>
          <w:trHeight w:val="406"/>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消息管理</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按消息关键词检索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群聊关联专项事件</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处置下发关联</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用户关联</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监测配置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浏览器插件</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key值登录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数据获取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数据清洗</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数据报送</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新增插件</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插件报送数据统计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插件管理</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要素识别</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抖音口令识别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微博口令识别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今日头条网址识别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西瓜视频网址识别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网易新闻网址识别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微信公众号识别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信息流转</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审核工作台</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关注账号今日发帖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报送信息统计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处置信息统计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按处置级别统计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专项任务数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快速审核信息列表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处置信息记录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区县报送排行</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近期账号</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综合统计</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省内信息统计列表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省内信息按地市统计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省内信息按时间统计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市外信息报送统计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市外信息报送导出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市内信息分级统计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市内信息统计查询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市内信息统计导出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信息报送</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新建报送</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按平台检索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按报送人检索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按账号昵称/UID检索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按报送时间检索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报送信息获取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报送信息列表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信息处置</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信息处置列表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按平台检索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按关键词检索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按处置级别检索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按处置时间检索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按处置单位检索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打标签</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编辑</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添加人员</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删除</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任务分配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信息处置回复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处置信息导出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信息督办</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督办新增</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督办标题</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督办事项</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督办等级</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督办单位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督办时限</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附件材料</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督办详情</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督办回复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督办进度</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督办完结</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督办事项列表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按关键词搜索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按状态展示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反馈时限</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时限设置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超时级别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超时标签</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超时审核</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按超时次数排行</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按超时级别次数排行</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按单位超时排行</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其他功能</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属性标签</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按标签筛选</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信息忽略</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一键采用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一键删除</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专项任务</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任务列表</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列表展示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每页按条数展示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任务查询</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按名称查询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按时间查询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任务创建</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事件名称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事件概述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信息来源</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可见单位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信息抓取</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快捷报送</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关联专项群</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自动监测获取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信息列表</w:t>
            </w:r>
            <w:r/>
          </w:p>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（详情）</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按照平台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按照报送时间检索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按标题和内容检索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按状态处置检索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按责任单位检索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按报送单位检索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按落查状态检索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按标签检索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数据导出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信息总数统计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未查清</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查询中</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已查清</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已删除</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趋势分析</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报送分析</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处置分析</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近7天展示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近30天展示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任务进展及 总结</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新增进展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新增时间</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进展描述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转折点判断</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相关材料附件上传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账号管控</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账号录入</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账号自动获取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账号手动添加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推送账号管控</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账号详情</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粉丝数获取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账号平台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最近发帖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账号ID</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ip属地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账号数据更新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账号分级管理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账号类型标签</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关注级别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巡查间隔</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责任单位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责任人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涉及方向</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预警分析</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账号预警</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预警促发</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预警标签</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预警呈现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自动填充</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数据自动补充</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事件分析</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事件添加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事件搜索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事件修改</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事件删除</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事件概述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发展趋势</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平台分布</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信息来源</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事件相关信息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基础优化</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UI界面升级</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组件化UI</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全新UI风格</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系统架构优化</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信息获取优化</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前端用户呈现</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后端数据处理</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扫码登陆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扫码登陆</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用户数据统一认证</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信息属性</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市外信息类型</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一级属性添加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二级属性添加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信息属性删除</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计划任务</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新增计划任务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计划任务列表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计划任务日志</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系统配置</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基础配置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数据配置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添加配置项</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日志管理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日志列表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日志查询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菜单管理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一级菜单列表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二级菜单列表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菜单数据添加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菜单数据修改</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菜单信息检索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用户管理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用户列表查看</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按用户id检索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按用户手机号检索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按最后登录时间检索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用户信息配置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单位管理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单位列表查看</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单位详情查看</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单位数据配置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单位添加延期</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公安内部网络端</w:t>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专项任务</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最新动向</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新增动向</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动向编辑</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信息处置</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信息汇聚</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自主录入</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县区报送及其他部门推送</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数据采用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信息预警</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按人员预警</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按规模预警</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按关键词预警</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人工预警</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信息研判</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自动提取相关信息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历史群组关联</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历史信息关联</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信息列表</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列表信息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按关键词检索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按人员检索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按采编级别检索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采编标签</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按上报单位检索</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信息修改</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数据统计</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按报送数统计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按采用数统计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按报送数据趋势统计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按采用数据趋势统计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人员统计</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统计数据筛选</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统计数据展示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账号管控</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账号刻画</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身份信息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涉及事件</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涉及信息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附件材料上传</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管控记录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操作流水</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人员画像</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人员列表</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数据导出</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新增人员</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人员详情</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人员信息修改</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社会关系</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账号信息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管控记录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修改记录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操作记录</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人员管控</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管控设置</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人员类型</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关注级别</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责任单位</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涉及方向</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预警分析</w:t>
            </w:r>
            <w:r/>
          </w:p>
        </w:tc>
        <w:tc>
          <w:tcPr>
            <w:tcW w:w="1707"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自动填充</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数据自动补充</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事件分析</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人员信息</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基础优化</w:t>
            </w:r>
            <w:r/>
          </w:p>
        </w:tc>
        <w:tc>
          <w:tcPr>
            <w:tcW w:w="1707" w:type="dxa"/>
            <w:vAlign w:val="center"/>
            <w:vMerge w:val="restart"/>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扫码登陆</w:t>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密码登陆</w:t>
            </w:r>
            <w:r/>
          </w:p>
        </w:tc>
      </w:tr>
      <w:tr>
        <w:trPr>
          <w:jc w:val="center"/>
          <w:trHeight w:val="285"/>
        </w:trPr>
        <w:tc>
          <w:tcPr>
            <w:tcW w:w="973" w:type="dxa"/>
            <w:vAlign w:val="center"/>
            <w:textDirection w:val="lrTb"/>
            <w:noWrap w:val="false"/>
          </w:tcPr>
          <w:p>
            <w:pPr>
              <w:numPr>
                <w:ilvl w:val="0"/>
                <w:numId w:val="3"/>
              </w:numPr>
              <w:ind w:left="425" w:hanging="425"/>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301"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500"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07" w:type="dxa"/>
            <w:vAlign w:val="center"/>
            <w:vMerge w:val="continue"/>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3190" w:type="dxa"/>
            <w:vAlign w:val="center"/>
            <w:textDirection w:val="lrTb"/>
            <w:noWrap w:val="false"/>
          </w:tcPr>
          <w:p>
            <w:pPr>
              <w:ind w:firstLine="0"/>
              <w:jc w:val="center"/>
              <w:keepLines w:val="0"/>
              <w:keepNext w:val="0"/>
              <w:pageBreakBefore w:val="0"/>
              <w:spacing w:line="50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扫码获取验证码</w:t>
            </w:r>
            <w:r/>
          </w:p>
        </w:tc>
      </w:tr>
    </w:tbl>
    <w:p>
      <w:pPr>
        <w:pStyle w:val="1070"/>
        <w:ind w:firstLine="480"/>
        <w:spacing w:line="500" w:lineRule="exact"/>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三、商务要求</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投标报价中须包含但不限于服务酬金（包含人员工资、社会福利费、公司管理费、利润、外勤等特殊津贴费等）、交通费、食宿费、通讯费、各种资料的编制、打印、复印和传递费、办公设备和用品费、不可预见费、维保费、在执行本项目服务任务的过程中所发生的额外的其它所有费用。</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2、交付期：中标人（成交供应商）应当按照投标承诺如期完成本项目的开发，如不能如期完成，采购人有权终止合同，中标人（成交供应商）须承担由此对采购人造成的损失。</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3、中标人（成交供应商）所提供的服务应当符合采购文件要求及供应商承诺的技术指标，否则采购人有权拒绝验收。</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4、中标人（成交供应商）需为本项目配备项目组并提供现场开发和运维服务，并按照不同工作职责分别配置项目经理、技术负责人（骨干）、项目组成员（含驻场人员）。成员人数不少于5人，其中含项目经理1名、技术负责人1名、项目组成员3人（开发期间现场人员不少于3名）。</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5、中标人（成交供应商）开发完成后，采购人根据采购项目的具体情况组织履约验收工作。如中标人（成交供应商）所供服务经验收小组认定质量不合格的，造成的损失和后果由中标人（成交供应商）负全部责任。</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6、运维要求：中标人提供3年免费运维服务。运维内容主要包括软件日常维护、功能故障维护、定期巡查平台功能、软件培训等工作。</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7、付款方式：</w:t>
      </w:r>
      <w:r>
        <w:rPr>
          <w:rFonts w:hint="eastAsia" w:ascii="宋体" w:hAnsi="宋体" w:eastAsia="Arial" w:cs="宋体"/>
          <w:color w:val="auto"/>
          <w:sz w:val="24"/>
          <w:szCs w:val="20"/>
          <w:highlight w:val="none"/>
        </w:rPr>
        <w:t xml:space="preserve">合同签订后，甲方收到预付款发票后10个工作日内，预付款支付比例：合同金额的30%。</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项目全部建设内容完成，试运行3个月，终验合格后付至合同价款的70%，审计完成后支付至审计金额的95%，服务期满后</w:t>
      </w:r>
      <w:r>
        <w:rPr>
          <w:rFonts w:hint="eastAsia" w:ascii="宋体" w:hAnsi="宋体" w:eastAsia="宋体" w:cs="宋体"/>
          <w:color w:val="000000" w:themeColor="text1"/>
          <w:sz w:val="24"/>
          <w:szCs w:val="20"/>
          <w:highlight w:val="none"/>
          <w:lang w:val="zh-CN" w:eastAsia="zh-CN" w:bidi="ar-SA"/>
          <w14:textFill>
            <w14:solidFill>
              <w14:schemeClr w14:val="tx1"/>
            </w14:solidFill>
          </w14:textFill>
        </w:rPr>
        <w:t xml:space="preserve">一次性付清</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。对于满足合同约定支付条件的，甲方收到乙方开具的正式发票后10个工作日内，将资金支付至合同约定的乙方账户。</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四、项目其他要求</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（一）项目方案</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1、项目需求分析投标人应根据采购需求和本项目实际，制订相应的服务方案至少包含以下内容：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（1）项目目标：结合政策要求、网络生态现状及现有信息处置痛点等现状，明确该项目在互联网信息治理、效率、协同等方面的目标。</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（2）方案概述：需明确项目定位与核心宗旨，阐述项目关键功能的实现和采用的关键技术，突出方案差异化亮点。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（3）风险评估和应对：从技术、管理、安全、合规等方面分析可能影响项目进度、功能落地及治理效能的潜在风险，并针对性提出应对措施。</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（4）预期成果：用量化或定性的关键指标体现项目价值，呼应项目目标的核心诉求。</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2、总体架构设计投标人应根据采购需求和本项目实际，制订相应的服务方案至少包含以下内容：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（1）总体原则：需明确提出平台建设遵循的总体原则，如技术标准的规范性、采用技术的安全性、系统的可扩展性、平台的易操作性等。</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（2）总体框架设计：需统筹规划、集约建设，整体构建盐城市公安局互联网信息处置平台（二期）平台的总体框架，包含数据层、支撑层、应用层、交互层的主要建设内容。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网络框架设计：需充分了解平台现有网络架构，结合项目建设各用户需求以及项目各个子系统具体功能应用，设计盐城市公安局互联网信息处置平台（二期）平台网络结构，确保网络设计合理规范、安全高效。</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（4）技术路线设计：需明确数据层、支撑层、应用层、交互层采用的技术路线设计，要采用先进成熟的技术设计，满足系统各种应用的需求，兼顾盐城政务云等其他相关的管理需求。</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（5）数据管理设计：需要满足公安内部网络和互联网之间的数据交换要求，包括建立统一的数据传输模式、建立监控管理模块、建立多种交换方式等。</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3、应用系统设计投标人应根据采购需求和本项目实际，制订相应的服务方案至少包含以下内容：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（1）功能设计：需充分了解公安相关业务流程和应用场景，在功能设计时要构建覆盖“监测-处置-分析—管理”全业务流程的功能矩阵，同时适配不同治理场景需求。</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（2）接口设计：根据项目采购需求设计数据对接方案，包括数据采集填报、数据处理、数据接口的技术设计，满足信息处置工作快速、高效、准确的要求。</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（3）数据库设计：</w:t>
      </w:r>
      <w:r>
        <w:rPr>
          <w:rFonts w:ascii="Arial" w:hAnsi="Arial" w:eastAsia="Arial" w:cs="Arial"/>
          <w:i w:val="0"/>
          <w:iCs w:val="0"/>
          <w:caps w:val="0"/>
          <w:color w:val="333333"/>
          <w:spacing w:val="0"/>
          <w:sz w:val="24"/>
          <w:szCs w:val="24"/>
          <w:highlight w:val="none"/>
          <w:shd w:val="clear" w:color="auto" w:fill="ffffff"/>
        </w:rPr>
        <w:t xml:space="preserve">需深入理解平台的业务逻辑、用户需求及数据流向，确保数据库能支持核心功能</w:t>
      </w:r>
      <w:r>
        <w:rPr>
          <w:rFonts w:hint="eastAsia" w:ascii="Arial" w:hAnsi="Arial" w:eastAsia="宋体" w:cs="Arial"/>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要求实施严格的访问控制策略（如角色权限分级、数据加密），防止未授权访问或篡改。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4）非功能需求设计（包含可扩展性设计、兼容性设计等）：采用模块化架构设计，开发的各项功能在后台通过独立模块实现，并根据需要预留功能扩展接口，确保系统可扩展性；充分考虑系统兼容性设计，便于后期能够将该平台作为子模块接入公安系统主平台；其他非功能需求设计。</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4、网络安全设计投标人应根据采购需求和本项目实际，制订相应的服务方案至少包含以下内容：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（1）网络安全现状分析：从政策监管现状、安全威胁现状、现有防护现状等维度，分析盐城市公安局互联网信息处置平台（二期）平台在网络安全方面可能存在的薄弱环节和风险隐患，并提出针对性措施。</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安全组网规划与拓扑：需满足纵深防御、清晰隔离、可管可控、弹性适配等核心要求，通过科学合理的组网规划、拓扑设计、关键链路设计构建起多层防护体系抵御威胁，同时也要确保网络结构清晰便于运维，并能适配业务增长与变化。</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安全防护体系设计：系统部署在华为政务云服务系统（盐城），可提供漏洞扫描、日志审计、数据库审计、堡垒机、防火墙、IDS/NDR、主机安全、WAF等安全能力。需要依托华为政务云服务系统全面构建从边界到数据的全链路安全防护体系，抵御各类网络攻击并保障业务稳定运行。</w:t>
      </w:r>
      <w:r/>
    </w:p>
    <w:p>
      <w:pPr>
        <w:pStyle w:val="1070"/>
        <w:ind w:firstLine="480"/>
        <w:spacing w:line="500" w:lineRule="exact"/>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（二）售后服务方案</w:t>
      </w:r>
      <w:r/>
    </w:p>
    <w:p>
      <w:pPr>
        <w:pStyle w:val="1070"/>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1、日常服务内容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高效响应保障：确保用户反馈的问题能在最短时间内得到响应，设定明确的响应时间标准，最大限度减少设备、数据系统故障的影响。</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持续优化体验：以提升用户满意度为核心，定期收集意见与分析使用数据，不断改进平台功能与服务质量，使平台能更好地适应警务实战使用需求。</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2、服务期限及服务方式</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技术支持全面覆盖：提供7×24小时在线技术咨询渠道，及时解答关于平台安装部署、操作使用、故障排查等方面的疑问；针对复杂技术难题，安排工程师远程协助或上门解决。</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系统维护定期巡检：制定详细的巡检计划，定期检查运行状态、数据备份完整性、网络稳定性等关键指标，提前发现并处理潜在风险，保障系统安全稳定运行。</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3、故障应急响应机制及响应时间</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服务承诺：对各项服务的可用性、响应时间、解决时限等关键指标做出量化承诺。</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应急处理预案完备：针对可能出现的重大故障、安全事故等情况，制定完善的应急处置预案，明确应急响应流程、责任分工及恢复措施，定期组织演练，确保在突发状况下能迅速恢复服务。</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4、日常容灾数据管理与优化</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sz w:val="24"/>
          <w:highlight w:val="none"/>
        </w:rPr>
        <w:t xml:space="preserve">采用的数据去重技术原理和实施步骤，减少数据冗余、根据数据访问频率和重要性，合理分配存储资源，提高存储利用率</w:t>
      </w:r>
      <w:r>
        <w:rPr>
          <w:rFonts w:hint="eastAsia" w:ascii="宋体" w:hAnsi="宋体" w:eastAsia="宋体" w:cs="宋体"/>
          <w:sz w:val="24"/>
          <w:highlight w:val="none"/>
          <w:lang w:eastAsia="zh-CN"/>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建立数据备份和恢复体系，制订完善的数据备份、恢复计划，在系统出现故障时可以快速地恢复。通过设置备份策略，实现数据的自动定时备份，以保证数据的安全性。</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5、安全与合规服务</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打造一支由资深技术专家、就业行业顾问及客服专员组成的多元化售后服务团队，成员具备丰富的项目实施经验与专业知识背景，能够精准定位并解决问题。</w:t>
      </w:r>
      <w:r/>
    </w:p>
    <w:p>
      <w:pPr>
        <w:numPr>
          <w:ilvl w:val="0"/>
          <w:numId w:val="0"/>
        </w:num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（三）人员资质</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投标人需为本项目配备项目组并提供现场开发和运维服务，并按照不同工作职责分别配置项目经理、技术负责人（骨干）、项目组成员</w:t>
      </w:r>
      <w:r>
        <w:rPr>
          <w:rFonts w:hint="eastAsia" w:ascii="宋体" w:hAnsi="宋体" w:eastAsia="Arial" w:cs="宋体"/>
          <w:color w:val="auto"/>
          <w:sz w:val="24"/>
          <w:szCs w:val="20"/>
          <w:highlight w:val="none"/>
        </w:rPr>
        <w:t xml:space="preserve">（含驻场人员）</w:t>
      </w:r>
      <w:r>
        <w:rPr>
          <w:rFonts w:ascii="宋体" w:hAnsi="宋体" w:eastAsia="Arial" w:cs="宋体"/>
          <w:color w:val="auto"/>
          <w:sz w:val="24"/>
          <w:szCs w:val="20"/>
          <w:highlight w:val="none"/>
        </w:rPr>
        <w:t xml:space="preserve">。成员人数不少于</w:t>
      </w:r>
      <w:r>
        <w:rPr>
          <w:rFonts w:hint="eastAsia" w:ascii="宋体" w:hAnsi="宋体" w:eastAsia="宋体" w:cs="宋体"/>
          <w:color w:val="auto"/>
          <w:sz w:val="24"/>
          <w:szCs w:val="20"/>
          <w:highlight w:val="none"/>
          <w:lang w:val="en-US" w:eastAsia="zh-CN"/>
        </w:rPr>
        <w:t xml:space="preserve">5</w:t>
      </w:r>
      <w:r>
        <w:rPr>
          <w:rFonts w:ascii="宋体" w:hAnsi="宋体" w:eastAsia="Arial" w:cs="宋体"/>
          <w:color w:val="auto"/>
          <w:sz w:val="24"/>
          <w:szCs w:val="20"/>
          <w:highlight w:val="none"/>
        </w:rPr>
        <w:t xml:space="preserve">人，其中含项目经理1名、技术负责人1名</w:t>
      </w:r>
      <w:r>
        <w:rPr>
          <w:rFonts w:hint="eastAsia" w:ascii="宋体" w:hAnsi="宋体" w:eastAsia="宋体" w:cs="宋体"/>
          <w:color w:val="auto"/>
          <w:sz w:val="24"/>
          <w:szCs w:val="20"/>
          <w:highlight w:val="none"/>
          <w:lang w:eastAsia="zh-CN"/>
        </w:rPr>
        <w:t xml:space="preserve">、</w:t>
      </w:r>
      <w:r>
        <w:rPr>
          <w:rFonts w:ascii="宋体" w:hAnsi="宋体" w:eastAsia="Arial" w:cs="宋体"/>
          <w:color w:val="auto"/>
          <w:sz w:val="24"/>
          <w:szCs w:val="20"/>
          <w:highlight w:val="none"/>
        </w:rPr>
        <w:t xml:space="preserve">项目组成员</w:t>
      </w:r>
      <w:r>
        <w:rPr>
          <w:rFonts w:hint="eastAsia" w:ascii="宋体" w:hAnsi="宋体" w:eastAsia="宋体" w:cs="宋体"/>
          <w:color w:val="auto"/>
          <w:sz w:val="24"/>
          <w:szCs w:val="20"/>
          <w:highlight w:val="none"/>
          <w:lang w:val="en-US" w:eastAsia="zh-CN"/>
        </w:rPr>
        <w:t xml:space="preserve">3人（开发期间现场人员不少于3名）</w:t>
      </w:r>
      <w:r>
        <w:rPr>
          <w:rFonts w:ascii="宋体" w:hAnsi="宋体" w:eastAsia="Arial" w:cs="宋体"/>
          <w:color w:val="auto"/>
          <w:sz w:val="24"/>
          <w:szCs w:val="20"/>
          <w:highlight w:val="none"/>
        </w:rPr>
        <w:t xml:space="preserve">。</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Cs/>
          <w:color w:val="auto"/>
          <w:sz w:val="24"/>
          <w:szCs w:val="20"/>
          <w:highlight w:val="none"/>
        </w:rPr>
        <w:t xml:space="preserve">项目</w:t>
      </w:r>
      <w:r>
        <w:rPr>
          <w:rFonts w:hint="eastAsia" w:ascii="宋体" w:hAnsi="宋体" w:eastAsia="宋体" w:cs="宋体"/>
          <w:bCs/>
          <w:color w:val="auto"/>
          <w:sz w:val="24"/>
          <w:szCs w:val="20"/>
          <w:highlight w:val="none"/>
          <w:lang w:val="en-US" w:eastAsia="zh-CN"/>
        </w:rPr>
        <w:t xml:space="preserve">组人员</w:t>
      </w:r>
      <w:r>
        <w:rPr>
          <w:rFonts w:hint="eastAsia" w:asciiTheme="minorEastAsia" w:hAnsiTheme="minorEastAsia" w:eastAsiaTheme="minorEastAsia" w:cstheme="minorEastAsia"/>
          <w:color w:val="auto"/>
          <w:sz w:val="24"/>
          <w:highlight w:val="none"/>
        </w:rPr>
        <w:t xml:space="preserve">（包括项目经理、技术负责人以及项目组其他成员）</w:t>
      </w:r>
      <w:r>
        <w:rPr>
          <w:rFonts w:hint="eastAsia" w:ascii="宋体" w:hAnsi="宋体" w:eastAsia="Arial" w:cs="宋体"/>
          <w:bCs/>
          <w:color w:val="auto"/>
          <w:sz w:val="24"/>
          <w:szCs w:val="20"/>
          <w:highlight w:val="none"/>
        </w:rPr>
        <w:t xml:space="preserve">具有以下证书的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Cs/>
          <w:color w:val="auto"/>
          <w:sz w:val="24"/>
          <w:szCs w:val="20"/>
          <w:highlight w:val="none"/>
        </w:rPr>
        <w:t xml:space="preserve">：</w:t>
      </w:r>
      <w:bookmarkStart w:id="477" w:name="OLE_LINK30"/>
      <w:r/>
      <w:bookmarkStart w:id="478" w:name="OLE_LINK31"/>
      <w:r>
        <w:rPr>
          <w:rFonts w:hint="eastAsia" w:asciiTheme="minorEastAsia" w:hAnsiTheme="minorEastAsia" w:cstheme="minorEastAsia"/>
          <w:color w:val="auto"/>
          <w:sz w:val="24"/>
          <w:highlight w:val="none"/>
        </w:rPr>
        <w:t xml:space="preserve">具有国家人力资源和社会保障部 工业和信息化部批准颁</w:t>
      </w:r>
      <w:r>
        <w:rPr>
          <w:rFonts w:hint="eastAsia" w:asciiTheme="minorEastAsia" w:hAnsiTheme="minorEastAsia" w:cstheme="minorEastAsia"/>
          <w:color w:val="auto"/>
          <w:sz w:val="24"/>
          <w:highlight w:val="none"/>
          <w:lang w:eastAsia="zh-CN"/>
        </w:rPr>
        <w:t xml:space="preserve">发的</w:t>
      </w:r>
      <w:bookmarkEnd w:id="477"/>
      <w:r/>
      <w:bookmarkEnd w:id="478"/>
      <w:r>
        <w:rPr>
          <w:rFonts w:hint="eastAsia" w:asciiTheme="minorEastAsia" w:hAnsiTheme="minorEastAsia" w:cstheme="minorEastAsia"/>
          <w:color w:val="auto"/>
          <w:sz w:val="24"/>
          <w:highlight w:val="none"/>
        </w:rPr>
        <w:t xml:space="preserve">系统架构设计师、系统分析师、软件设计师、网络工程师、数据库系统工程师</w:t>
      </w:r>
      <w:r>
        <w:rPr>
          <w:rFonts w:hint="eastAsia" w:asciiTheme="minorEastAsia" w:hAnsiTheme="minorEastAsia" w:cstheme="minorEastAsia"/>
          <w:bCs/>
          <w:color w:val="auto"/>
          <w:sz w:val="24"/>
          <w:highlight w:val="none"/>
          <w:lang w:val="en-US" w:eastAsia="zh-CN"/>
        </w:rPr>
        <w:t xml:space="preserve">证书</w:t>
      </w:r>
      <w:r>
        <w:rPr>
          <w:rFonts w:hint="eastAsia" w:asciiTheme="minorEastAsia" w:hAnsiTheme="minorEastAsia" w:eastAsiaTheme="minorEastAsia" w:cstheme="minorEastAsia"/>
          <w:bCs/>
          <w:color w:val="auto"/>
          <w:sz w:val="24"/>
          <w:szCs w:val="20"/>
          <w:highlight w:val="none"/>
        </w:rPr>
        <w:t xml:space="preserve">。</w:t>
      </w:r>
      <w:r/>
    </w:p>
    <w:p>
      <w:pPr>
        <w:numPr>
          <w:ilvl w:val="0"/>
          <w:numId w:val="0"/>
        </w:numPr>
        <w:ind w:left="0"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（四）体系认证证书</w:t>
      </w:r>
      <w:r/>
    </w:p>
    <w:p>
      <w:pPr>
        <w:numPr>
          <w:ilvl w:val="0"/>
          <w:numId w:val="0"/>
        </w:numPr>
        <w:ind w:firstLine="480"/>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投标人需要具备丰富的相关承接经验，确保本项目的顺利实施。投标人具有质量管理体系认证、信息安全管理体系认证证书、信息技术服务体系认证证书的优先。</w:t>
      </w:r>
      <w:r/>
    </w:p>
    <w:p>
      <w:pPr>
        <w:numPr>
          <w:ilvl w:val="0"/>
          <w:numId w:val="0"/>
        </w:num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（五）类似业绩</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投标人需要具备丰富的相关承接经验，确保本项目的顺利实施。投标人自2022年1月1日以来(以合同签订日期为准)承接的</w:t>
      </w:r>
      <w:r>
        <w:rPr>
          <w:rFonts w:hint="eastAsia" w:asciiTheme="minorEastAsia" w:hAnsiTheme="minorEastAsia" w:eastAsiaTheme="minorEastAsia" w:cstheme="minorEastAsia"/>
          <w:color w:val="auto"/>
          <w:sz w:val="24"/>
          <w:highlight w:val="none"/>
          <w:lang w:val="zh-CN"/>
        </w:rPr>
        <w:t xml:space="preserve">类似</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平台开发项目（</w:t>
      </w:r>
      <w:r>
        <w:rPr>
          <w:rFonts w:hint="eastAsia" w:asciiTheme="minorEastAsia" w:hAnsiTheme="minorEastAsia" w:eastAsiaTheme="minorEastAsia" w:cstheme="minorEastAsia"/>
          <w:color w:val="auto"/>
          <w:sz w:val="24"/>
          <w:highlight w:val="none"/>
          <w:lang w:val="zh-CN"/>
        </w:rPr>
        <w:t xml:space="preserve">类似项目是指</w:t>
      </w:r>
      <w:r>
        <w:rPr>
          <w:rFonts w:hint="eastAsia" w:asciiTheme="minorEastAsia" w:hAnsiTheme="minorEastAsia" w:cstheme="minorEastAsia"/>
          <w:color w:val="auto"/>
          <w:sz w:val="24"/>
          <w:highlight w:val="none"/>
          <w:lang w:val="en-US" w:eastAsia="zh-CN"/>
        </w:rPr>
        <w:t xml:space="preserve">信息流转</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信息处置</w:t>
      </w:r>
      <w:r>
        <w:rPr>
          <w:rFonts w:hint="eastAsia" w:asciiTheme="minorEastAsia" w:hAnsiTheme="minorEastAsia" w:eastAsiaTheme="minorEastAsia" w:cstheme="minorEastAsia"/>
          <w:color w:val="auto"/>
          <w:sz w:val="24"/>
          <w:highlight w:val="none"/>
        </w:rPr>
        <w:t xml:space="preserve">、数据监测分析相关的平台</w:t>
      </w:r>
      <w:r>
        <w:rPr>
          <w:rFonts w:hint="eastAsia" w:asciiTheme="minorEastAsia" w:hAnsiTheme="minorEastAsia" w:cstheme="minorEastAsia"/>
          <w:color w:val="auto"/>
          <w:sz w:val="24"/>
          <w:highlight w:val="none"/>
          <w:lang w:val="en-US" w:eastAsia="zh-CN"/>
        </w:rPr>
        <w:t xml:space="preserve">/系统</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）成功案例的优先。</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五、采购标的对应的中小企业划分标准所属行业一览表</w:t>
      </w:r>
      <w:r/>
    </w:p>
    <w:tbl>
      <w:tblPr>
        <w:tblStyle w:val="795"/>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3961"/>
        <w:gridCol w:w="3862"/>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序号</w:t>
            </w:r>
            <w:r/>
          </w:p>
        </w:tc>
        <w:tc>
          <w:tcPr>
            <w:tcW w:w="3961"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采购标的</w:t>
            </w:r>
            <w:r/>
          </w:p>
        </w:tc>
        <w:tc>
          <w:tcPr>
            <w:tcW w:w="3862"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w:t>
            </w:r>
            <w:r/>
          </w:p>
        </w:tc>
        <w:tc>
          <w:tcPr>
            <w:tcW w:w="3961"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盐城市公安局互联网信息处置平台（二期）项目</w:t>
            </w:r>
            <w:r>
              <w:rPr>
                <w:rFonts w:hint="eastAsia" w:ascii="宋体" w:hAnsi="宋体" w:eastAsia="Arial" w:cs="宋体"/>
                <w:color w:val="000000" w:themeColor="text1"/>
                <w:sz w:val="24"/>
                <w:szCs w:val="20"/>
                <w:highlight w:val="none"/>
                <w14:textFill>
                  <w14:solidFill>
                    <w14:schemeClr w14:val="tx1"/>
                  </w14:solidFill>
                </w14:textFill>
              </w:rPr>
              <w:t xml:space="preserve"> </w:t>
            </w:r>
            <w:r/>
          </w:p>
        </w:tc>
        <w:tc>
          <w:tcPr>
            <w:tcW w:w="3862"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软件和信息技术服务业</w:t>
            </w:r>
            <w:r/>
          </w:p>
        </w:tc>
      </w:tr>
    </w:tbl>
    <w:p>
      <w:pPr>
        <w:ind w:firstLine="480"/>
        <w:spacing w:line="400" w:lineRule="exact"/>
        <w:rPr>
          <w:rFonts w:hint="eastAsia" w:ascii="黑体" w:hAnsi="黑体" w:eastAsia="黑体" w:cs="Times New Roman"/>
          <w:color w:val="000000" w:themeColor="text1"/>
          <w:sz w:val="24"/>
          <w:highlight w:val="none"/>
          <w14:textFill>
            <w14:solidFill>
              <w14:schemeClr w14:val="tx1"/>
            </w14:solidFill>
          </w14:textFill>
        </w:rPr>
      </w:pPr>
      <w:r>
        <w:rPr>
          <w:rFonts w:hint="eastAsia" w:ascii="黑体" w:hAnsi="黑体" w:eastAsia="黑体" w:cs="Times New Roman"/>
          <w:color w:val="000000" w:themeColor="text1"/>
          <w:sz w:val="24"/>
          <w:highlight w:val="none"/>
          <w14:textFill>
            <w14:solidFill>
              <w14:schemeClr w14:val="tx1"/>
            </w14:solidFill>
          </w14:textFill>
        </w:rPr>
      </w:r>
      <w:r/>
    </w:p>
    <w:p>
      <w:pPr>
        <w:rPr>
          <w:rFonts w:hint="eastAsia" w:ascii="黑体" w:hAnsi="黑体" w:eastAsia="黑体" w:cs="黑体"/>
          <w:color w:val="000000" w:themeColor="text1"/>
          <w:sz w:val="44"/>
          <w:szCs w:val="20"/>
          <w:highlight w:val="none"/>
          <w14:textFill>
            <w14:solidFill>
              <w14:schemeClr w14:val="tx1"/>
            </w14:solidFill>
          </w14:textFill>
        </w:rPr>
      </w:pPr>
      <w:r/>
      <w:bookmarkStart w:id="479" w:name="_Toc203060317"/>
      <w:r>
        <w:rPr>
          <w:rFonts w:hint="eastAsia" w:ascii="黑体" w:hAnsi="黑体" w:eastAsia="黑体" w:cs="黑体"/>
          <w:color w:val="000000" w:themeColor="text1"/>
          <w:sz w:val="44"/>
          <w:szCs w:val="20"/>
          <w:highlight w:val="none"/>
          <w14:textFill>
            <w14:solidFill>
              <w14:schemeClr w14:val="tx1"/>
            </w14:solidFill>
          </w14:textFill>
        </w:rPr>
        <w:br w:type="page" w:clear="all"/>
      </w:r>
      <w:r/>
    </w:p>
    <w:p>
      <w:pPr>
        <w:jc w:val="center"/>
        <w:spacing w:line="700" w:lineRule="exact"/>
        <w:widowControl/>
        <w:rPr>
          <w:rFonts w:hint="eastAsia" w:ascii="方正小标宋_GBK" w:eastAsia="方正小标宋_GBK" w:cs="宋体" w:hAnsiTheme="minorEastAsia"/>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第五章 </w:t>
      </w:r>
      <w:bookmarkEnd w:id="479"/>
      <w:r>
        <w:rPr>
          <w:rFonts w:hint="eastAsia" w:ascii="黑体" w:hAnsi="黑体" w:eastAsia="黑体" w:cs="黑体"/>
          <w:color w:val="000000" w:themeColor="text1"/>
          <w:sz w:val="44"/>
          <w:szCs w:val="20"/>
          <w:highlight w:val="none"/>
          <w14:textFill>
            <w14:solidFill>
              <w14:schemeClr w14:val="tx1"/>
            </w14:solidFill>
          </w14:textFill>
        </w:rPr>
        <w:t xml:space="preserve">评标方法与评标标准</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14:textFill>
            <w14:solidFill>
              <w14:schemeClr w14:val="tx1"/>
            </w14:solidFill>
          </w14:textFill>
        </w:rPr>
        <w:outlineLvl w:val="1"/>
      </w:pPr>
      <w:r>
        <w:rPr>
          <w:rFonts w:hint="eastAsia" w:asciiTheme="minorEastAsia" w:hAnsiTheme="minorEastAsia" w:cstheme="minorEastAsia"/>
          <w:b/>
          <w:bCs/>
          <w:color w:val="000000" w:themeColor="text1"/>
          <w:sz w:val="24"/>
          <w:szCs w:val="20"/>
          <w:highlight w:val="none"/>
          <w14:textFill>
            <w14:solidFill>
              <w14:schemeClr w14:val="tx1"/>
            </w14:solidFill>
          </w14:textFill>
        </w:rPr>
        <w:t xml:space="preserve">一、定标原则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本项目采用</w:t>
      </w:r>
      <w:r>
        <w:rPr>
          <w:rFonts w:hint="eastAsia" w:ascii="宋体" w:hAnsi="宋体" w:eastAsia="Arial" w:cs="宋体"/>
          <w:color w:val="000000" w:themeColor="text1"/>
          <w:sz w:val="24"/>
          <w:szCs w:val="20"/>
          <w:highlight w:val="none"/>
          <w:u w:val="single"/>
          <w14:textFill>
            <w14:solidFill>
              <w14:schemeClr w14:val="tx1"/>
            </w14:solidFill>
          </w14:textFill>
        </w:rPr>
        <w:t xml:space="preserve"> 综合评分 </w:t>
      </w:r>
      <w:r>
        <w:rPr>
          <w:rFonts w:hint="eastAsia" w:ascii="宋体" w:hAnsi="宋体" w:eastAsia="Arial" w:cs="宋体"/>
          <w:color w:val="000000" w:themeColor="text1"/>
          <w:sz w:val="24"/>
          <w:szCs w:val="20"/>
          <w:highlight w:val="none"/>
          <w14:textFill>
            <w14:solidFill>
              <w14:schemeClr w14:val="tx1"/>
            </w14:solidFill>
          </w14:textFill>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政府采购政策功能落实</w:t>
      </w:r>
      <w:r/>
    </w:p>
    <w:p>
      <w:pPr>
        <w:numPr>
          <w:ilvl w:val="0"/>
          <w:numId w:val="4"/>
        </w:num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小微型企业价格扣除</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2、残疾人福利单位价格扣除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（1）本项目对残疾人福利性单位视同小型、微型企业，给予20%的价格扣除。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3、监狱和戒毒企业价格扣除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（1）本项目对监狱和戒毒企业（简称监狱企业）视同小型、微型企业，给予20%的价格扣除。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795"/>
        <w:tblW w:w="50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704"/>
        <w:gridCol w:w="665"/>
        <w:gridCol w:w="6391"/>
      </w:tblGrid>
      <w:tr>
        <w:trPr>
          <w:jc w:val="center"/>
          <w:trHeight w:val="571"/>
        </w:trPr>
        <w:tc>
          <w:tcPr>
            <w:tcW w:w="962"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bookmarkStart w:id="480" w:name="_Toc203060318"/>
            <w:r>
              <w:rPr>
                <w:rFonts w:hint="eastAsia" w:ascii="宋体" w:hAnsi="宋体" w:eastAsia="宋体" w:cs="宋体"/>
                <w:color w:val="auto"/>
                <w:sz w:val="24"/>
                <w:highlight w:val="none"/>
              </w:rPr>
              <w:t xml:space="preserve">评分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因素</w:t>
            </w:r>
            <w:r/>
          </w:p>
        </w:tc>
        <w:tc>
          <w:tcPr>
            <w:tcW w:w="704"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评审项目</w:t>
            </w:r>
            <w:r/>
          </w:p>
        </w:tc>
        <w:tc>
          <w:tcPr>
            <w:tcW w:w="665"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c>
          <w:tcPr>
            <w:tcW w:w="6391"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评分细则</w:t>
            </w:r>
            <w:r/>
          </w:p>
        </w:tc>
      </w:tr>
      <w:tr>
        <w:trPr>
          <w:jc w:val="center"/>
          <w:trHeight w:val="90"/>
        </w:trPr>
        <w:tc>
          <w:tcPr>
            <w:tcBorders>
              <w:bottom w:val="single" w:color="auto" w:sz="4" w:space="0"/>
            </w:tcBorders>
            <w:tcW w:w="962"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(一）价格部分（</w:t>
            </w:r>
            <w:r>
              <w:rPr>
                <w:rFonts w:hint="eastAsia" w:ascii="宋体" w:hAnsi="宋体" w:eastAsia="宋体" w:cs="宋体"/>
                <w:color w:val="auto"/>
                <w:sz w:val="24"/>
                <w:highlight w:val="none"/>
                <w:lang w:val="en-US" w:eastAsia="zh-CN"/>
              </w:rPr>
              <w:t xml:space="preserve">44</w:t>
            </w:r>
            <w:r>
              <w:rPr>
                <w:rFonts w:hint="eastAsia" w:ascii="宋体" w:hAnsi="宋体" w:eastAsia="宋体" w:cs="宋体"/>
                <w:color w:val="auto"/>
                <w:sz w:val="24"/>
                <w:highlight w:val="none"/>
              </w:rPr>
              <w:t xml:space="preserve">分）</w:t>
            </w:r>
            <w:r/>
          </w:p>
        </w:tc>
        <w:tc>
          <w:tcPr>
            <w:tcW w:w="704"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tc>
        <w:tc>
          <w:tcPr>
            <w:tcW w:w="665" w:type="dxa"/>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44</w:t>
            </w:r>
            <w:r/>
          </w:p>
        </w:tc>
        <w:tc>
          <w:tcPr>
            <w:tcW w:w="6391"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价格分采用低价优先法计算，即满足投标文件要求且报价最低的投标人报价为评标基准价，其价格分为满分</w:t>
            </w:r>
            <w:r>
              <w:rPr>
                <w:rFonts w:hint="eastAsia" w:asciiTheme="minorEastAsia" w:hAnsiTheme="minorEastAsia" w:cstheme="minorEastAsia"/>
                <w:color w:val="auto"/>
                <w:sz w:val="24"/>
                <w:highlight w:val="none"/>
                <w:lang w:val="en-US" w:eastAsia="zh-CN"/>
              </w:rPr>
              <w:t xml:space="preserve">44</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其他</w:t>
            </w:r>
            <w:r>
              <w:rPr>
                <w:rFonts w:hint="eastAsia" w:asciiTheme="minorEastAsia" w:hAnsiTheme="minorEastAsia" w:eastAsiaTheme="minorEastAsia" w:cstheme="minorEastAsia"/>
                <w:color w:val="auto"/>
                <w:sz w:val="24"/>
                <w:highlight w:val="none"/>
              </w:rPr>
              <w:t xml:space="preserve">投标人的价格分统一按照以下公式计算：投标报价得分=(评标基准价/该投标单位的投标报价)*</w:t>
            </w:r>
            <w:r>
              <w:rPr>
                <w:rFonts w:hint="eastAsia" w:asciiTheme="minorEastAsia" w:hAnsiTheme="minorEastAsia" w:cstheme="minorEastAsia"/>
                <w:color w:val="auto"/>
                <w:sz w:val="24"/>
                <w:highlight w:val="none"/>
                <w:lang w:val="en-US" w:eastAsia="zh-CN"/>
              </w:rPr>
              <w:t xml:space="preserve">44</w:t>
            </w:r>
            <w:r>
              <w:rPr>
                <w:rFonts w:hint="eastAsia" w:asciiTheme="minorEastAsia" w:hAnsiTheme="minorEastAsia" w:eastAsiaTheme="minorEastAsia" w:cstheme="minorEastAsia"/>
                <w:color w:val="auto"/>
                <w:sz w:val="24"/>
                <w:highlight w:val="none"/>
              </w:rPr>
              <w:t xml:space="preserve">（四舍五入，小数点保留两位）。</w:t>
            </w:r>
            <w:r/>
          </w:p>
        </w:tc>
      </w:tr>
      <w:tr>
        <w:trPr>
          <w:jc w:val="center"/>
          <w:trHeight w:val="90"/>
        </w:trPr>
        <w:tc>
          <w:tcPr>
            <w:shd w:val="clear" w:color="auto" w:fill="auto"/>
            <w:tcBorders>
              <w:bottom w:val="single" w:color="auto" w:sz="4" w:space="0"/>
            </w:tcBorders>
            <w:tcW w:w="962"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关键技术证明</w:t>
            </w:r>
            <w:r/>
          </w:p>
          <w:p>
            <w:pPr>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shd w:val="clear" w:color="auto" w:fill="auto"/>
            <w:tcW w:w="70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关键技术证明</w:t>
            </w:r>
            <w:r/>
          </w:p>
        </w:tc>
        <w:tc>
          <w:tcPr>
            <w:shd w:val="clear" w:color="auto" w:fill="auto"/>
            <w:tcW w:w="66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c>
          <w:tcPr>
            <w:shd w:val="clear" w:color="auto" w:fill="auto"/>
            <w:tcW w:w="6391"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软件</w:t>
            </w:r>
            <w:r>
              <w:rPr>
                <w:rFonts w:hint="eastAsia" w:ascii="宋体" w:hAnsi="宋体" w:eastAsia="宋体" w:cs="宋体"/>
                <w:color w:val="000000" w:themeColor="text1"/>
                <w:sz w:val="24"/>
                <w:szCs w:val="24"/>
                <w:highlight w:val="none"/>
                <w14:textFill>
                  <w14:solidFill>
                    <w14:schemeClr w14:val="tx1"/>
                  </w14:solidFill>
                </w14:textFill>
              </w:rPr>
              <w:t xml:space="preserve">项目清单中标“★”项为关键系统功能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14:textFill>
                  <w14:solidFill>
                    <w14:schemeClr w14:val="tx1"/>
                  </w14:solidFill>
                </w14:textFill>
              </w:rPr>
              <w:t xml:space="preserve">，投标人响应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14:textFill>
                  <w14:solidFill>
                    <w14:schemeClr w14:val="tx1"/>
                  </w14:solidFill>
                </w14:textFill>
              </w:rPr>
              <w:t xml:space="preserve">的每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项加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分，最高得3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注：标“★”项投标时需提供系统功能截图证明材料并加盖投标人公章。没有提供截图，或提供的截图与要求不符的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不得分。</w:t>
            </w:r>
            <w:r/>
          </w:p>
        </w:tc>
      </w:tr>
      <w:tr>
        <w:trPr>
          <w:jc w:val="center"/>
          <w:trHeight w:val="4148"/>
        </w:trPr>
        <w:tc>
          <w:tcPr>
            <w:tcBorders>
              <w:top w:val="single" w:color="auto" w:sz="4" w:space="0"/>
              <w:left w:val="single" w:color="auto" w:sz="4" w:space="0"/>
              <w:right w:val="single" w:color="auto" w:sz="4" w:space="0"/>
            </w:tcBorders>
            <w:tcW w:w="962"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）技术</w:t>
            </w:r>
            <w:r>
              <w:rPr>
                <w:rFonts w:hint="eastAsia" w:ascii="宋体" w:hAnsi="宋体" w:eastAsia="宋体" w:cs="宋体"/>
                <w:color w:val="auto"/>
                <w:sz w:val="24"/>
                <w:highlight w:val="none"/>
                <w:lang w:val="en-US" w:eastAsia="zh-CN"/>
              </w:rPr>
              <w:t xml:space="preserve">部分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Borders>
              <w:left w:val="single" w:color="auto" w:sz="4" w:space="0"/>
              <w:bottom w:val="single" w:color="auto" w:sz="4" w:space="0"/>
            </w:tcBorders>
            <w:tcW w:w="70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项目需求分析</w:t>
            </w:r>
            <w:r/>
          </w:p>
        </w:tc>
        <w:tc>
          <w:tcPr>
            <w:tcBorders>
              <w:bottom w:val="single" w:color="auto" w:sz="4" w:space="0"/>
            </w:tcBorders>
            <w:tcW w:w="665" w:type="dxa"/>
            <w:vAlign w:val="center"/>
            <w:textDirection w:val="lrTb"/>
            <w:noWrap w:val="false"/>
          </w:tcPr>
          <w:p>
            <w:pPr>
              <w:ind w:firstLine="240"/>
              <w:jc w:val="both"/>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bottom w:val="single" w:color="auto" w:sz="4" w:space="0"/>
            </w:tcBorders>
            <w:tcW w:w="6391"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评委根据投标人提供的项目需求分析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auto"/>
                <w:sz w:val="24"/>
                <w:highlight w:val="none"/>
              </w:rPr>
              <w:t xml:space="preserve">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项目目标；</w:t>
            </w:r>
            <w:r>
              <w:rPr>
                <w:rFonts w:hint="eastAsia" w:asciiTheme="minorEastAsia" w:hAnsiTheme="minorEastAsia" w:eastAsiaTheme="minorEastAsia" w:cstheme="minorEastAsia"/>
                <w:color w:val="auto"/>
                <w:sz w:val="24"/>
                <w:highlight w:val="none"/>
              </w:rPr>
              <w:t xml:space="preserve">②</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方案概述；</w:t>
            </w:r>
            <w:r>
              <w:rPr>
                <w:rFonts w:hint="eastAsia" w:asciiTheme="minorEastAsia" w:hAnsiTheme="minorEastAsia" w:eastAsiaTheme="minorEastAsia" w:cstheme="minorEastAsia"/>
                <w:color w:val="auto"/>
                <w:sz w:val="24"/>
                <w:highlight w:val="none"/>
              </w:rPr>
              <w:t xml:space="preserve">③</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风险评估和应对；</w:t>
            </w:r>
            <w:r>
              <w:rPr>
                <w:rFonts w:hint="eastAsia" w:asciiTheme="minorEastAsia" w:hAnsiTheme="minorEastAsia" w:eastAsiaTheme="minorEastAsia" w:cstheme="minorEastAsia"/>
                <w:color w:val="auto"/>
                <w:sz w:val="24"/>
                <w:highlight w:val="none"/>
              </w:rPr>
              <w:t xml:space="preserve">④</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预期成果等</w:t>
            </w:r>
            <w:r>
              <w:rPr>
                <w:rFonts w:hint="eastAsia" w:ascii="宋体" w:hAnsi="宋体" w:eastAsia="宋体" w:cs="宋体"/>
                <w:color w:val="000000" w:themeColor="text1"/>
                <w:sz w:val="24"/>
                <w:szCs w:val="24"/>
                <w:highlight w:val="none"/>
                <w14:textFill>
                  <w14:solidFill>
                    <w14:schemeClr w14:val="tx1"/>
                  </w14:solidFill>
                </w14:textFill>
              </w:rPr>
              <w:t xml:space="preserve">进行综合评分：方案优于项目需求的得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分，符合项目需求的得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分，不符合或未提供的不得分。</w:t>
            </w:r>
            <w:r/>
          </w:p>
          <w:p>
            <w:pPr>
              <w:pStyle w:val="827"/>
              <w:ind w:left="0" w:right="0"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962"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704" w:type="dxa"/>
            <w:vAlign w:val="center"/>
            <w:textDirection w:val="lrTb"/>
            <w:noWrap w:val="false"/>
          </w:tcPr>
          <w:p>
            <w:pPr>
              <w:jc w:val="center"/>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总体架构设计</w:t>
            </w:r>
            <w:r/>
          </w:p>
        </w:tc>
        <w:tc>
          <w:tcPr>
            <w:tcW w:w="665" w:type="dxa"/>
            <w:vAlign w:val="center"/>
            <w:textDirection w:val="lrTb"/>
            <w:noWrap w:val="false"/>
          </w:tcPr>
          <w:p>
            <w:pPr>
              <w:ind w:firstLine="240"/>
              <w:jc w:val="left"/>
              <w:keepLines w:val="0"/>
              <w:keepNext w:val="0"/>
              <w:pageBreakBefore w:val="0"/>
              <w:spacing w:line="5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bottom w:val="single" w:color="auto" w:sz="4" w:space="0"/>
            </w:tcBorders>
            <w:tcW w:w="6391"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评委根据投标人提供的总体架构设计</w:t>
            </w:r>
            <w:r>
              <w:rPr>
                <w:rFonts w:hint="eastAsia" w:asciiTheme="minorEastAsia" w:hAnsiTheme="minorEastAsia" w:eastAsiaTheme="minorEastAsia" w:cstheme="minorEastAsia"/>
                <w:color w:val="auto"/>
                <w:sz w:val="24"/>
                <w:highlight w:val="none"/>
              </w:rPr>
              <w:t xml:space="preserve">，方案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总体原则；</w:t>
            </w:r>
            <w:r>
              <w:rPr>
                <w:rFonts w:hint="eastAsia" w:asciiTheme="minorEastAsia" w:hAnsiTheme="minorEastAsia" w:eastAsiaTheme="minorEastAsia" w:cstheme="minorEastAsia"/>
                <w:color w:val="auto"/>
                <w:sz w:val="24"/>
                <w:highlight w:val="none"/>
              </w:rPr>
              <w:t xml:space="preserve">②</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总体框架设计；</w:t>
            </w:r>
            <w:r>
              <w:rPr>
                <w:rFonts w:hint="eastAsia" w:asciiTheme="minorEastAsia" w:hAnsiTheme="minorEastAsia" w:eastAsiaTheme="minorEastAsia" w:cstheme="minorEastAsia"/>
                <w:color w:val="auto"/>
                <w:sz w:val="24"/>
                <w:highlight w:val="none"/>
              </w:rPr>
              <w:t xml:space="preserve">③</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网络框架设计；</w:t>
            </w:r>
            <w:r>
              <w:rPr>
                <w:rFonts w:hint="eastAsia" w:asciiTheme="minorEastAsia" w:hAnsiTheme="minorEastAsia" w:eastAsiaTheme="minorEastAsia" w:cstheme="minorEastAsia"/>
                <w:color w:val="auto"/>
                <w:sz w:val="24"/>
                <w:highlight w:val="none"/>
              </w:rPr>
              <w:t xml:space="preserve">④</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技术路线设计；</w:t>
            </w:r>
            <w:r>
              <w:rPr>
                <w:rFonts w:hint="eastAsia" w:asciiTheme="minorEastAsia" w:hAnsiTheme="minorEastAsia" w:eastAsiaTheme="minorEastAsia" w:cstheme="minorEastAsia"/>
                <w:color w:val="auto"/>
                <w:sz w:val="24"/>
                <w:highlight w:val="none"/>
              </w:rPr>
              <w:t xml:space="preserve">⑤</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数据管理设计</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等进行综合评分：方案优于项目需求的得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分，符合项目需求的得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分，不符合或未提供的不得分。</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962" w:type="dxa"/>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704" w:type="dxa"/>
            <w:vAlign w:val="center"/>
            <w:textDirection w:val="lrTb"/>
            <w:noWrap w:val="false"/>
          </w:tcPr>
          <w:p>
            <w:pPr>
              <w:jc w:val="center"/>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应用系统设计</w:t>
            </w:r>
            <w:r/>
          </w:p>
        </w:tc>
        <w:tc>
          <w:tcPr>
            <w:tcW w:w="665" w:type="dxa"/>
            <w:vAlign w:val="center"/>
            <w:textDirection w:val="lrTb"/>
            <w:noWrap w:val="false"/>
          </w:tcPr>
          <w:p>
            <w:pPr>
              <w:ind w:firstLine="24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bottom w:val="single" w:color="auto" w:sz="4" w:space="0"/>
            </w:tcBorders>
            <w:tcW w:w="6391"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评委根据投标人提供的应用系统设计方案</w:t>
            </w:r>
            <w:r>
              <w:rPr>
                <w:rFonts w:hint="eastAsia" w:asciiTheme="minorEastAsia" w:hAnsiTheme="minorEastAsia" w:eastAsiaTheme="minorEastAsia" w:cstheme="minorEastAsia"/>
                <w:color w:val="auto"/>
                <w:sz w:val="24"/>
                <w:highlight w:val="none"/>
              </w:rPr>
              <w:t xml:space="preserve">，方案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功能设计；</w:t>
            </w:r>
            <w:r>
              <w:rPr>
                <w:rFonts w:hint="eastAsia" w:asciiTheme="minorEastAsia" w:hAnsiTheme="minorEastAsia" w:eastAsiaTheme="minorEastAsia" w:cstheme="minorEastAsia"/>
                <w:color w:val="auto"/>
                <w:sz w:val="24"/>
                <w:highlight w:val="none"/>
              </w:rPr>
              <w:t xml:space="preserve">②</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接口设计；</w:t>
            </w:r>
            <w:r>
              <w:rPr>
                <w:rFonts w:hint="eastAsia" w:asciiTheme="minorEastAsia" w:hAnsiTheme="minorEastAsia" w:eastAsiaTheme="minorEastAsia" w:cstheme="minorEastAsia"/>
                <w:color w:val="auto"/>
                <w:sz w:val="24"/>
                <w:highlight w:val="none"/>
              </w:rPr>
              <w:t xml:space="preserve">③</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数据库设计；</w:t>
            </w:r>
            <w:r>
              <w:rPr>
                <w:rFonts w:hint="eastAsia" w:asciiTheme="minorEastAsia" w:hAnsiTheme="minorEastAsia" w:eastAsiaTheme="minorEastAsia" w:cstheme="minorEastAsia"/>
                <w:color w:val="auto"/>
                <w:sz w:val="24"/>
                <w:highlight w:val="none"/>
              </w:rPr>
              <w:t xml:space="preserve">④</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非功能需求设计等</w:t>
            </w:r>
            <w:r>
              <w:rPr>
                <w:rFonts w:hint="eastAsia" w:ascii="宋体" w:hAnsi="宋体" w:eastAsia="宋体" w:cs="宋体"/>
                <w:color w:val="000000" w:themeColor="text1"/>
                <w:sz w:val="24"/>
                <w:szCs w:val="24"/>
                <w:highlight w:val="none"/>
                <w14:textFill>
                  <w14:solidFill>
                    <w14:schemeClr w14:val="tx1"/>
                  </w14:solidFill>
                </w14:textFill>
              </w:rPr>
              <w:t xml:space="preserve">进行综合评分：方案优于项目需求的得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分，符合项目需求的得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分，不符合或未提供的不得分。</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962" w:type="dxa"/>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704" w:type="dxa"/>
            <w:vAlign w:val="center"/>
            <w:textDirection w:val="lrTb"/>
            <w:noWrap w:val="false"/>
          </w:tcPr>
          <w:p>
            <w:pPr>
              <w:jc w:val="center"/>
              <w:keepLines w:val="0"/>
              <w:keepNext w:val="0"/>
              <w:pageBreakBefore w:val="0"/>
              <w:spacing w:line="500" w:lineRule="exact"/>
              <w:widowControl w:val="off"/>
              <w:rPr>
                <w:rFonts w:hint="eastAsia" w:asciiTheme="minorEastAsia" w:hAnsiTheme="minorEastAsia" w:cstheme="minorEastAsia"/>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网络安全设计</w:t>
            </w:r>
            <w:r/>
          </w:p>
        </w:tc>
        <w:tc>
          <w:tcPr>
            <w:tcW w:w="665" w:type="dxa"/>
            <w:vAlign w:val="center"/>
            <w:textDirection w:val="lrTb"/>
            <w:noWrap w:val="false"/>
          </w:tcPr>
          <w:p>
            <w:pPr>
              <w:ind w:firstLine="24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bottom w:val="single" w:color="auto" w:sz="4" w:space="0"/>
            </w:tcBorders>
            <w:tcW w:w="6391"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评委根据投标人提供的网络安全设计方案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auto"/>
                <w:sz w:val="24"/>
                <w:highlight w:val="none"/>
              </w:rPr>
              <w:t xml:space="preserve">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网络安全现状分析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auto"/>
                <w:sz w:val="24"/>
                <w:highlight w:val="none"/>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安全组网规划与拓扑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auto"/>
                <w:sz w:val="24"/>
                <w:highlight w:val="none"/>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安全防护体系设计等进行综合评分：方案优于项目需求的得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分，符合项目需求的得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分，不符合或未提供的不得分。</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962" w:type="dxa"/>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tcBorders>
              <w:left w:val="single" w:color="auto" w:sz="4" w:space="0"/>
            </w:tcBorders>
            <w:tcW w:w="704" w:type="dxa"/>
            <w:vAlign w:val="center"/>
            <w:textDirection w:val="lrTb"/>
            <w:noWrap w:val="false"/>
          </w:tcPr>
          <w:p>
            <w:pPr>
              <w:jc w:val="left"/>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售后服务方案</w:t>
            </w:r>
            <w:r/>
          </w:p>
        </w:tc>
        <w:tc>
          <w:tcPr>
            <w:shd w:val="clear" w:color="auto"/>
            <w:tcW w:w="665"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w:t>
            </w:r>
            <w:r/>
          </w:p>
        </w:tc>
        <w:tc>
          <w:tcPr>
            <w:shd w:val="clear" w:color="auto"/>
            <w:tcBorders>
              <w:bottom w:val="single" w:color="auto" w:sz="4" w:space="0"/>
            </w:tcBorders>
            <w:tcW w:w="6391"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“售后服务要求”，提供科学合理的售后服务方案，方案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：①日常服务内容、②服务期限及服务方式、③故障应急响应机制及响应时间、④日常容灾数据管理与优化、⑤安全与合规服务等内容。方案优于要求的得</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分，符合要求得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分，不符合要求或未提供的不得分。</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0"/>
        </w:trPr>
        <w:tc>
          <w:tcPr>
            <w:tcBorders>
              <w:top w:val="single" w:color="auto" w:sz="4" w:space="0"/>
            </w:tcBorders>
            <w:tcW w:w="962"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商务部分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w:t>
            </w:r>
            <w:r/>
          </w:p>
        </w:tc>
        <w:tc>
          <w:tcPr>
            <w:shd w:val="clear" w:color="auto" w:fill="auto"/>
            <w:tcBorders>
              <w:top w:val="single" w:color="auto" w:sz="4" w:space="0"/>
            </w:tcBorders>
            <w:tcW w:w="704"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人员资质</w:t>
            </w:r>
            <w:r/>
          </w:p>
        </w:tc>
        <w:tc>
          <w:tcPr>
            <w:shd w:val="clear" w:color="auto" w:fill="auto"/>
            <w:tcBorders>
              <w:top w:val="single" w:color="auto" w:sz="4" w:space="0"/>
            </w:tcBorders>
            <w:tcW w:w="665"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auto" w:sz="4" w:space="0"/>
            </w:tcBorders>
            <w:tcW w:w="6391"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w:t>
            </w:r>
            <w:r>
              <w:rPr>
                <w:rFonts w:hint="eastAsia" w:asciiTheme="minorEastAsia" w:hAnsiTheme="minorEastAsia" w:cstheme="minorEastAsia"/>
                <w:color w:val="auto"/>
                <w:sz w:val="24"/>
                <w:highlight w:val="none"/>
                <w:lang w:val="en-US" w:eastAsia="zh-CN"/>
              </w:rPr>
              <w:t xml:space="preserve">人</w:t>
            </w:r>
            <w:r>
              <w:rPr>
                <w:rFonts w:hint="eastAsia" w:asciiTheme="minorEastAsia" w:hAnsiTheme="minorEastAsia" w:eastAsiaTheme="minorEastAsia" w:cstheme="minorEastAsia"/>
                <w:color w:val="auto"/>
                <w:sz w:val="24"/>
                <w:highlight w:val="none"/>
              </w:rPr>
              <w:t xml:space="preserve">配备的项目组</w:t>
            </w:r>
            <w:r>
              <w:rPr>
                <w:rFonts w:hint="eastAsia" w:asciiTheme="minorEastAsia" w:hAnsiTheme="minorEastAsia" w:cstheme="minorEastAsia"/>
                <w:color w:val="auto"/>
                <w:sz w:val="24"/>
                <w:highlight w:val="none"/>
                <w:lang w:val="en-US" w:eastAsia="zh-CN"/>
              </w:rPr>
              <w:t xml:space="preserve">人员</w:t>
            </w:r>
            <w:r>
              <w:rPr>
                <w:rFonts w:hint="eastAsia" w:asciiTheme="minorEastAsia" w:hAnsiTheme="minorEastAsia" w:eastAsiaTheme="minorEastAsia" w:cstheme="minorEastAsia"/>
                <w:color w:val="auto"/>
                <w:sz w:val="24"/>
                <w:highlight w:val="none"/>
              </w:rPr>
              <w:t xml:space="preserve">（包括项目经理、技术负责人以及项目组其他成员）具有系统架构设计师、系统分析师、软件设计师、网络工程师</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数据库系统工程师任一种证书的，有一人得1分，最高得5分，未提供不得分。（以上人员及证书不重复计分）</w:t>
            </w:r>
            <w:r/>
          </w:p>
          <w:p>
            <w:pPr>
              <w:ind w:firstLine="480"/>
              <w:keepLines w:val="0"/>
              <w:keepNext w:val="0"/>
              <w:pageBreakBefore w:val="0"/>
              <w:spacing w:line="500" w:lineRule="exact"/>
              <w:rPr>
                <w:rFonts w:hint="eastAsia" w:ascii="宋体" w:hAnsi="宋体" w:cs="宋体" w:eastAsia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highlight w:val="none"/>
              </w:rPr>
              <w:t xml:space="preserve">注：①上述证明材料以原件的扫描件并加盖投标人公章进行计分；②以上所有人员需提供投标单位投标前3个月内任意1个月缴纳社保的证明材料并加盖投标人公章</w:t>
            </w:r>
            <w:r>
              <w:rPr>
                <w:rFonts w:hint="eastAsia" w:asciiTheme="minorEastAsia" w:hAnsiTheme="minorEastAsia" w:cstheme="minorEastAsia"/>
                <w:color w:val="auto"/>
                <w:sz w:val="24"/>
                <w:highlight w:val="none"/>
                <w:lang w:eastAsia="zh-CN"/>
              </w:rPr>
              <w:t xml:space="preserve">。</w:t>
            </w:r>
            <w:r/>
          </w:p>
        </w:tc>
      </w:tr>
      <w:tr>
        <w:trPr>
          <w:jc w:val="center"/>
          <w:trHeight w:val="90"/>
        </w:trPr>
        <w:tc>
          <w:tcPr>
            <w:tcW w:w="962"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tcW w:w="704"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highlight w:val="none"/>
              </w:rPr>
              <w:t xml:space="preserve">投标单位体系认证情况</w:t>
            </w:r>
            <w:r/>
          </w:p>
        </w:tc>
        <w:tc>
          <w:tcPr>
            <w:shd w:val="clear" w:color="auto"/>
            <w:tcW w:w="665" w:type="dxa"/>
            <w:vAlign w:val="center"/>
            <w:textDirection w:val="lrTb"/>
            <w:noWrap w:val="false"/>
          </w:tcPr>
          <w:p>
            <w:pPr>
              <w:jc w:val="center"/>
              <w:keepLines w:val="0"/>
              <w:keepNext w:val="0"/>
              <w:pageBreakBefore w:val="0"/>
              <w:spacing w:line="500" w:lineRule="exact"/>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highlight w:val="none"/>
                <w:lang w:val="en-US" w:eastAsia="zh-CN"/>
              </w:rPr>
              <w:t xml:space="preserve">3</w:t>
            </w:r>
            <w:r/>
          </w:p>
        </w:tc>
        <w:tc>
          <w:tcPr>
            <w:shd w:val="clear" w:color="auto"/>
            <w:tcW w:w="6391"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投标人具有</w:t>
            </w:r>
            <w:r>
              <w:rPr>
                <w:rFonts w:hint="eastAsia" w:asciiTheme="minorEastAsia" w:hAnsiTheme="minorEastAsia" w:eastAsiaTheme="minorEastAsia" w:cstheme="minorEastAsia"/>
                <w:color w:val="auto"/>
                <w:sz w:val="24"/>
                <w:highlight w:val="none"/>
                <w:lang w:val="zh-CN"/>
              </w:rPr>
              <w:t xml:space="preserve">有效的</w:t>
            </w:r>
            <w:r>
              <w:rPr>
                <w:rFonts w:hint="eastAsia" w:asciiTheme="minorEastAsia" w:hAnsiTheme="minorEastAsia" w:eastAsiaTheme="minorEastAsia" w:cstheme="minorEastAsia"/>
                <w:color w:val="auto"/>
                <w:sz w:val="24"/>
                <w:highlight w:val="none"/>
              </w:rPr>
              <w:t xml:space="preserve">信息安全管理体系认证证书、质量管理体系认证证书、信息技术服务体系认证证书，每提供1项证书得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highlight w:val="none"/>
                <w:lang w:val="zh-CN"/>
              </w:rPr>
              <w:t xml:space="preserve">注</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投标时提供上述证书的彩色扫描件</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同时须提供上述证书在全国认证认可信息公共服务平台</w:t>
            </w:r>
            <w:r>
              <w:rPr>
                <w:rFonts w:hint="eastAsia" w:asciiTheme="minorEastAsia" w:hAnsiTheme="minorEastAsia" w:eastAsiaTheme="minorEastAsia" w:cstheme="minorEastAsia"/>
                <w:color w:val="auto"/>
                <w:sz w:val="24"/>
                <w:highlight w:val="none"/>
              </w:rPr>
              <w:t xml:space="preserve">（http://cx.cnca.cn/CertECloud/index/index/page?currentPosition=）</w:t>
            </w:r>
            <w:r>
              <w:rPr>
                <w:rFonts w:hint="eastAsia" w:asciiTheme="minorEastAsia" w:hAnsiTheme="minorEastAsia" w:eastAsiaTheme="minorEastAsia" w:cstheme="minorEastAsia"/>
                <w:color w:val="auto"/>
                <w:sz w:val="24"/>
                <w:highlight w:val="none"/>
                <w:lang w:val="zh-CN"/>
              </w:rPr>
              <w:t xml:space="preserve">查询页面完整截图</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投标人应当确保证书开标当天处于有效期内</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否则不予认可。以上材料均须加盖投标人公章，否则不予认可，不提供不得分。</w:t>
            </w:r>
            <w:r/>
          </w:p>
        </w:tc>
      </w:tr>
      <w:tr>
        <w:trPr>
          <w:jc w:val="center"/>
          <w:trHeight w:val="90"/>
        </w:trPr>
        <w:tc>
          <w:tcPr>
            <w:tcW w:w="962"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tcW w:w="704"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类似项目业绩</w:t>
            </w:r>
            <w:r/>
          </w:p>
        </w:tc>
        <w:tc>
          <w:tcPr>
            <w:shd w:val="clear" w:color="auto"/>
            <w:tcW w:w="665" w:type="dxa"/>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c>
          <w:tcPr>
            <w:shd w:val="clear" w:color="auto"/>
            <w:tcW w:w="6391"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根据投标人提供同类项目业绩情况进行评分:</w:t>
            </w:r>
            <w:r/>
          </w:p>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Theme="minorEastAsia" w:hAnsiTheme="minorEastAsia" w:eastAsiaTheme="minorEastAsia" w:cstheme="minorEastAsia"/>
                <w:color w:val="auto"/>
                <w:sz w:val="24"/>
                <w:highlight w:val="none"/>
              </w:rPr>
              <w:t xml:space="preserve">202</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年1月1日以来</w:t>
            </w:r>
            <w:r>
              <w:rPr>
                <w:rFonts w:hint="eastAsia" w:ascii="宋体" w:hAnsi="宋体" w:eastAsia="Arial" w:cs="宋体"/>
                <w:color w:val="auto"/>
                <w:sz w:val="24"/>
                <w:szCs w:val="20"/>
                <w:highlight w:val="none"/>
              </w:rPr>
              <w:t xml:space="preserve">（以合同签订日期为准）</w:t>
            </w:r>
            <w:r>
              <w:rPr>
                <w:rFonts w:hint="eastAsia" w:asciiTheme="minorEastAsia" w:hAnsiTheme="minorEastAsia" w:eastAsiaTheme="minorEastAsia" w:cstheme="minorEastAsia"/>
                <w:color w:val="auto"/>
                <w:sz w:val="24"/>
                <w:highlight w:val="none"/>
              </w:rPr>
              <w:t xml:space="preserve">，投标人具有类似项目业绩（</w:t>
            </w:r>
            <w:r>
              <w:rPr>
                <w:rFonts w:hint="eastAsia" w:asciiTheme="minorEastAsia" w:hAnsiTheme="minorEastAsia" w:eastAsiaTheme="minorEastAsia" w:cstheme="minorEastAsia"/>
                <w:color w:val="auto"/>
                <w:sz w:val="24"/>
                <w:highlight w:val="none"/>
                <w:lang w:val="zh-CN"/>
              </w:rPr>
              <w:t xml:space="preserve">类似项目是指</w:t>
            </w:r>
            <w:r>
              <w:rPr>
                <w:rFonts w:hint="eastAsia" w:asciiTheme="minorEastAsia" w:hAnsiTheme="minorEastAsia" w:cstheme="minorEastAsia"/>
                <w:color w:val="auto"/>
                <w:sz w:val="24"/>
                <w:highlight w:val="none"/>
                <w:lang w:val="en-US" w:eastAsia="zh-CN"/>
              </w:rPr>
              <w:t xml:space="preserve">信息流转</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信息处置</w:t>
            </w:r>
            <w:r>
              <w:rPr>
                <w:rFonts w:hint="eastAsia" w:asciiTheme="minorEastAsia" w:hAnsiTheme="minorEastAsia" w:eastAsiaTheme="minorEastAsia" w:cstheme="minorEastAsia"/>
                <w:color w:val="auto"/>
                <w:sz w:val="24"/>
                <w:highlight w:val="none"/>
              </w:rPr>
              <w:t xml:space="preserve">、数据监测分析相关的平台</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系统</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类业绩</w:t>
            </w:r>
            <w:r>
              <w:rPr>
                <w:rFonts w:hint="eastAsia" w:asciiTheme="minorEastAsia" w:hAnsiTheme="minorEastAsia" w:eastAsiaTheme="minorEastAsia" w:cstheme="minorEastAsia"/>
                <w:color w:val="auto"/>
                <w:sz w:val="24"/>
                <w:highlight w:val="none"/>
                <w:lang w:val="zh-CN"/>
              </w:rPr>
              <w:t xml:space="preserve">至少一项在内的信息化建设项目</w:t>
            </w:r>
            <w:r>
              <w:rPr>
                <w:rFonts w:hint="eastAsia" w:asciiTheme="minorEastAsia" w:hAnsiTheme="minorEastAsia" w:eastAsiaTheme="minorEastAsia" w:cstheme="minorEastAsia"/>
                <w:color w:val="auto"/>
                <w:sz w:val="24"/>
                <w:highlight w:val="none"/>
              </w:rPr>
              <w:t xml:space="preserve">）</w:t>
            </w:r>
            <w:r>
              <w:rPr>
                <w:rFonts w:hint="eastAsia" w:ascii="宋体" w:hAnsi="宋体" w:eastAsia="宋体" w:cs="宋体"/>
                <w:color w:val="auto"/>
                <w:sz w:val="24"/>
                <w:highlight w:val="none"/>
              </w:rPr>
              <w:t xml:space="preserve">；每提供一个成功案例得</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分，同样案例不重复计分，本项最高得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highlight w:val="none"/>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r>
    </w:tbl>
    <w:p>
      <w:pPr>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br w:type="page" w:clear="all"/>
      </w:r>
      <w:r/>
    </w:p>
    <w:p>
      <w:pPr>
        <w:jc w:val="center"/>
        <w:widowControl/>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r>
      <w:r/>
    </w:p>
    <w:p>
      <w:pPr>
        <w:jc w:val="center"/>
        <w:widowControl/>
        <w:rPr>
          <w:rFonts w:hint="eastAsia" w:ascii="方正小标宋_GBK" w:eastAsia="方正小标宋_GBK" w:cs="宋体" w:hAnsiTheme="minorEastAsia"/>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t xml:space="preserve">第六章  </w:t>
      </w:r>
      <w:bookmarkEnd w:id="480"/>
      <w:r>
        <w:rPr>
          <w:rFonts w:hint="eastAsia" w:ascii="黑体" w:hAnsi="黑体" w:eastAsia="黑体" w:cs="黑体"/>
          <w:color w:val="000000" w:themeColor="text1"/>
          <w:sz w:val="44"/>
          <w:szCs w:val="44"/>
          <w:highlight w:val="none"/>
          <w14:textFill>
            <w14:solidFill>
              <w14:schemeClr w14:val="tx1"/>
            </w14:solidFill>
          </w14:textFill>
        </w:rPr>
        <w:t xml:space="preserve">投标文件格式 </w:t>
      </w:r>
      <w:r>
        <w:rPr>
          <w:rFonts w:hint="eastAsia" w:ascii="方正小标宋_GBK" w:eastAsia="方正小标宋_GBK" w:cs="宋体" w:hAnsiTheme="minorEastAsia"/>
          <w:color w:val="000000" w:themeColor="text1"/>
          <w:sz w:val="44"/>
          <w:szCs w:val="44"/>
          <w:highlight w:val="none"/>
          <w14:textFill>
            <w14:solidFill>
              <w14:schemeClr w14:val="tx1"/>
            </w14:solidFill>
          </w14:textFill>
        </w:rPr>
        <w:t xml:space="preserve"> </w:t>
      </w:r>
      <w:r/>
    </w:p>
    <w:p>
      <w:pPr>
        <w:ind w:firstLine="1446"/>
        <w:widowControl/>
        <w:rPr>
          <w:rFonts w:hint="eastAsia" w:cs="Times New Roman" w:asciiTheme="minorEastAsia" w:hAnsiTheme="minorEastAsia"/>
          <w:b/>
          <w:color w:val="000000" w:themeColor="text1"/>
          <w:sz w:val="72"/>
          <w:szCs w:val="72"/>
          <w:highlight w:val="none"/>
          <w14:textFill>
            <w14:solidFill>
              <w14:schemeClr w14:val="tx1"/>
            </w14:solidFill>
          </w14:textFill>
        </w:rPr>
      </w:pPr>
      <w:r/>
      <w:bookmarkStart w:id="481" w:name="_Toc49090576"/>
      <w:r/>
      <w:bookmarkEnd w:id="481"/>
      <w:r/>
      <w:bookmarkStart w:id="482" w:name="_Toc120614282"/>
      <w:r/>
      <w:bookmarkEnd w:id="482"/>
      <w:r/>
      <w:bookmarkStart w:id="483" w:name="_Hlt26671244"/>
      <w:r/>
      <w:bookmarkStart w:id="484" w:name="_Hlt26955039"/>
      <w:r/>
      <w:bookmarkStart w:id="485" w:name="_Toc26554094"/>
      <w:r/>
      <w:r/>
    </w:p>
    <w:p>
      <w:pPr>
        <w:ind w:firstLine="1446"/>
        <w:widowControl/>
        <w:rPr>
          <w:rFonts w:hint="eastAsia" w:cs="Times New Roman" w:asciiTheme="minorEastAsia" w:hAnsiTheme="minorEastAsia"/>
          <w:b/>
          <w:color w:val="000000" w:themeColor="text1"/>
          <w:sz w:val="72"/>
          <w:szCs w:val="72"/>
          <w:highlight w:val="none"/>
          <w14:textFill>
            <w14:solidFill>
              <w14:schemeClr w14:val="tx1"/>
            </w14:solidFill>
          </w14:textFill>
        </w:rPr>
      </w:pPr>
      <w:r>
        <w:rPr>
          <w:rFonts w:hint="eastAsia" w:cs="Times New Roman" w:asciiTheme="minorEastAsia" w:hAnsiTheme="minorEastAsia"/>
          <w:b/>
          <w:color w:val="000000" w:themeColor="text1"/>
          <w:sz w:val="72"/>
          <w:szCs w:val="72"/>
          <w:highlight w:val="none"/>
          <w14:textFill>
            <w14:solidFill>
              <w14:schemeClr w14:val="tx1"/>
            </w14:solidFill>
          </w14:textFill>
        </w:rPr>
      </w:r>
      <w:r/>
    </w:p>
    <w:p>
      <w:pPr>
        <w:jc w:val="center"/>
        <w:widowControl/>
        <w:rPr>
          <w:rFonts w:hint="eastAsia" w:ascii="方正小标宋_GBK" w:eastAsia="方正小标宋_GBK" w:cs="Times New Roman" w:hAnsiTheme="minorEastAsia"/>
          <w:b w:val="0"/>
          <w:bCs w:val="0"/>
          <w:color w:val="000000" w:themeColor="text1"/>
          <w:sz w:val="84"/>
          <w:szCs w:val="84"/>
          <w:highlight w:val="none"/>
          <w14:textFill>
            <w14:solidFill>
              <w14:schemeClr w14:val="tx1"/>
            </w14:solidFill>
          </w14:textFill>
        </w:rPr>
      </w:pPr>
      <w:r>
        <w:rPr>
          <w:rFonts w:hint="eastAsia" w:ascii="方正小标宋_GBK" w:eastAsia="方正小标宋_GBK" w:cs="Times New Roman" w:hAnsiTheme="minorEastAsia"/>
          <w:b w:val="0"/>
          <w:bCs w:val="0"/>
          <w:color w:val="000000" w:themeColor="text1"/>
          <w:sz w:val="84"/>
          <w:szCs w:val="84"/>
          <w:highlight w:val="none"/>
          <w14:textFill>
            <w14:solidFill>
              <w14:schemeClr w14:val="tx1"/>
            </w14:solidFill>
          </w14:textFill>
        </w:rPr>
        <w:t xml:space="preserve">投 标 文 件</w:t>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1134"/>
        <w:spacing w:line="360" w:lineRule="auto"/>
        <w:widowControl/>
        <w:rPr>
          <w:rFonts w:hint="eastAsia" w:asciiTheme="minorEastAsia" w:hAnsiTheme="minorEastAsia" w:cstheme="minorEastAsia"/>
          <w:b/>
          <w:color w:val="000000" w:themeColor="text1"/>
          <w:spacing w:val="46"/>
          <w:sz w:val="24"/>
          <w:highlight w:val="none"/>
          <w:u w:val="single"/>
          <w14:textFill>
            <w14:solidFill>
              <w14:schemeClr w14:val="tx1"/>
            </w14:solidFill>
          </w14:textFill>
        </w:rPr>
      </w:pPr>
      <w:r>
        <w:rPr>
          <w:rFonts w:hint="eastAsia" w:asciiTheme="minorEastAsia" w:hAnsiTheme="minorEastAsia" w:cstheme="minorEastAsia"/>
          <w:b/>
          <w:color w:val="000000" w:themeColor="text1"/>
          <w:spacing w:val="46"/>
          <w:sz w:val="36"/>
          <w:szCs w:val="36"/>
          <w:highlight w:val="none"/>
          <w14:textFill>
            <w14:solidFill>
              <w14:schemeClr w14:val="tx1"/>
            </w14:solidFill>
          </w14:textFill>
        </w:rPr>
        <w:t xml:space="preserve">项目名称：</w:t>
      </w:r>
      <w:r>
        <w:rPr>
          <w:rFonts w:hint="eastAsia" w:asciiTheme="minorEastAsia" w:hAnsiTheme="minorEastAsia" w:cstheme="minorEastAsia"/>
          <w:b/>
          <w:color w:val="000000" w:themeColor="text1"/>
          <w:spacing w:val="46"/>
          <w:sz w:val="36"/>
          <w:szCs w:val="36"/>
          <w:highlight w:val="none"/>
          <w:u w:val="single"/>
          <w14:textFill>
            <w14:solidFill>
              <w14:schemeClr w14:val="tx1"/>
            </w14:solidFill>
          </w14:textFill>
        </w:rPr>
        <w:t xml:space="preserve">                  </w:t>
      </w:r>
      <w:r/>
    </w:p>
    <w:p>
      <w:pPr>
        <w:ind w:firstLine="1134"/>
        <w:spacing w:line="360" w:lineRule="auto"/>
        <w:widowControl/>
        <w:rPr>
          <w:rFonts w:hint="eastAsia" w:asciiTheme="minorEastAsia" w:hAnsiTheme="minorEastAsia" w:cstheme="minorEastAsia"/>
          <w:b/>
          <w:color w:val="000000" w:themeColor="text1"/>
          <w:spacing w:val="46"/>
          <w:sz w:val="24"/>
          <w:highlight w:val="none"/>
          <w:u w:val="single"/>
          <w14:textFill>
            <w14:solidFill>
              <w14:schemeClr w14:val="tx1"/>
            </w14:solidFill>
          </w14:textFill>
        </w:rPr>
      </w:pPr>
      <w:r>
        <w:rPr>
          <w:rFonts w:hint="eastAsia" w:asciiTheme="minorEastAsia" w:hAnsiTheme="minorEastAsia" w:cstheme="minorEastAsia"/>
          <w:b/>
          <w:color w:val="000000" w:themeColor="text1"/>
          <w:spacing w:val="46"/>
          <w:sz w:val="36"/>
          <w:szCs w:val="36"/>
          <w:highlight w:val="none"/>
          <w14:textFill>
            <w14:solidFill>
              <w14:schemeClr w14:val="tx1"/>
            </w14:solidFill>
          </w14:textFill>
        </w:rPr>
        <w:t xml:space="preserve">项目编号：</w:t>
      </w:r>
      <w:r>
        <w:rPr>
          <w:rFonts w:hint="eastAsia" w:asciiTheme="minorEastAsia" w:hAnsiTheme="minorEastAsia" w:cstheme="minorEastAsia"/>
          <w:b/>
          <w:color w:val="000000" w:themeColor="text1"/>
          <w:spacing w:val="46"/>
          <w:sz w:val="36"/>
          <w:szCs w:val="36"/>
          <w:highlight w:val="none"/>
          <w:u w:val="single"/>
          <w14:textFill>
            <w14:solidFill>
              <w14:schemeClr w14:val="tx1"/>
            </w14:solidFill>
          </w14:textFill>
        </w:rPr>
        <w:t xml:space="preserve">                  </w:t>
      </w:r>
      <w:r/>
    </w:p>
    <w:p>
      <w:pPr>
        <w:ind w:firstLine="1134"/>
        <w:spacing w:line="360" w:lineRule="auto"/>
        <w:widowControl/>
        <w:rPr>
          <w:rFonts w:hint="eastAsia" w:asciiTheme="minorEastAsia" w:hAnsiTheme="minorEastAsia" w:cstheme="minorEastAsia"/>
          <w:b/>
          <w:color w:val="000000" w:themeColor="text1"/>
          <w:sz w:val="24"/>
          <w:highlight w:val="none"/>
          <w14:textFill>
            <w14:solidFill>
              <w14:schemeClr w14:val="tx1"/>
            </w14:solidFill>
          </w14:textFill>
        </w:rPr>
        <w:outlineLvl w:val="1"/>
      </w:pPr>
      <w:r>
        <w:rPr>
          <w:rFonts w:hint="eastAsia" w:asciiTheme="minorEastAsia" w:hAnsiTheme="minorEastAsia" w:cstheme="minorEastAsia"/>
          <w:b/>
          <w:color w:val="000000" w:themeColor="text1"/>
          <w:sz w:val="36"/>
          <w:szCs w:val="36"/>
          <w:highlight w:val="none"/>
          <w14:textFill>
            <w14:solidFill>
              <w14:schemeClr w14:val="tx1"/>
            </w14:solidFill>
          </w14:textFill>
        </w:rPr>
        <w:t xml:space="preserve">投标人名称：</w:t>
      </w:r>
      <w:r>
        <w:rPr>
          <w:rFonts w:hint="eastAsia" w:asciiTheme="minorEastAsia" w:hAnsiTheme="minorEastAsia" w:cstheme="minorEastAsia"/>
          <w:b/>
          <w:color w:val="000000" w:themeColor="text1"/>
          <w:sz w:val="36"/>
          <w:szCs w:val="36"/>
          <w:highlight w:val="none"/>
          <w:u w:val="single"/>
          <w:lang w:val="en-US" w:eastAsia="zh-CN"/>
          <w14:textFill>
            <w14:solidFill>
              <w14:schemeClr w14:val="tx1"/>
            </w14:solidFill>
          </w14:textFill>
        </w:rPr>
        <w:t xml:space="preserve">  </w:t>
      </w:r>
      <w:r>
        <w:rPr>
          <w:rFonts w:hint="eastAsia" w:asciiTheme="minorEastAsia" w:hAnsiTheme="minorEastAsia" w:cstheme="minorEastAsia"/>
          <w:b/>
          <w:color w:val="000000" w:themeColor="text1"/>
          <w:sz w:val="36"/>
          <w:szCs w:val="36"/>
          <w:highlight w:val="none"/>
          <w:u w:val="single"/>
          <w14:textFill>
            <w14:solidFill>
              <w14:schemeClr w14:val="tx1"/>
            </w14:solidFill>
          </w14:textFill>
        </w:rPr>
        <w:t xml:space="preserve">（加盖CA电子公章）  </w:t>
      </w:r>
      <w:r/>
    </w:p>
    <w:p>
      <w:pPr>
        <w:ind w:firstLine="1134"/>
        <w:spacing w:line="360" w:lineRule="auto"/>
        <w:widowControl/>
        <w:rPr>
          <w:rFonts w:hint="eastAsia" w:ascii="黑体" w:hAnsi="黑体" w:cs="Times New Roman"/>
          <w:bCs/>
          <w:color w:val="000000" w:themeColor="text1"/>
          <w:sz w:val="24"/>
          <w:highlight w:val="none"/>
          <w:u w:val="single"/>
          <w14:textFill>
            <w14:solidFill>
              <w14:schemeClr w14:val="tx1"/>
            </w14:solidFill>
          </w14:textFill>
        </w:rPr>
      </w:pPr>
      <w:r>
        <w:rPr>
          <w:rFonts w:hint="eastAsia" w:asciiTheme="minorEastAsia" w:hAnsiTheme="minorEastAsia" w:cstheme="minorEastAsia"/>
          <w:b/>
          <w:color w:val="000000" w:themeColor="text1"/>
          <w:sz w:val="36"/>
          <w:szCs w:val="36"/>
          <w:highlight w:val="none"/>
          <w14:textFill>
            <w14:solidFill>
              <w14:schemeClr w14:val="tx1"/>
            </w14:solidFill>
          </w14:textFill>
        </w:rPr>
        <w:t xml:space="preserve">日      期：</w:t>
      </w:r>
      <w:r>
        <w:rPr>
          <w:rFonts w:hint="eastAsia" w:asciiTheme="minorEastAsia" w:hAnsiTheme="minorEastAsia" w:cstheme="minorEastAsia"/>
          <w:b/>
          <w:color w:val="000000" w:themeColor="text1"/>
          <w:sz w:val="36"/>
          <w:szCs w:val="36"/>
          <w:highlight w:val="none"/>
          <w:u w:val="single"/>
          <w14:textFill>
            <w14:solidFill>
              <w14:schemeClr w14:val="tx1"/>
            </w14:solidFill>
          </w14:textFill>
        </w:rPr>
        <w:t xml:space="preserve">                   </w:t>
      </w:r>
      <w:r>
        <w:rPr>
          <w:rFonts w:hint="eastAsia" w:asciiTheme="minorEastAsia" w:hAnsiTheme="minorEastAsia" w:cstheme="minorEastAsia"/>
          <w:b/>
          <w:color w:val="000000" w:themeColor="text1"/>
          <w:sz w:val="36"/>
          <w:szCs w:val="36"/>
          <w:highlight w:val="none"/>
          <w:u w:val="single"/>
          <w:lang w:val="en-US" w:eastAsia="zh-CN"/>
          <w14:textFill>
            <w14:solidFill>
              <w14:schemeClr w14:val="tx1"/>
            </w14:solidFill>
          </w14:textFill>
        </w:rPr>
        <w:t xml:space="preserve"> </w:t>
      </w:r>
      <w:r>
        <w:rPr>
          <w:rFonts w:hint="eastAsia" w:asciiTheme="minorEastAsia" w:hAnsiTheme="minorEastAsia" w:cstheme="minorEastAsia"/>
          <w:b/>
          <w:color w:val="000000" w:themeColor="text1"/>
          <w:sz w:val="36"/>
          <w:szCs w:val="36"/>
          <w:highlight w:val="none"/>
          <w:u w:val="single"/>
          <w14:textFill>
            <w14:solidFill>
              <w14:schemeClr w14:val="tx1"/>
            </w14:solidFill>
          </w14:textFill>
        </w:rPr>
        <w:t xml:space="preserve">  </w:t>
      </w:r>
      <w:r/>
    </w:p>
    <w:p>
      <w:pPr>
        <w:pStyle w:val="1028"/>
        <w:jc w:val="both"/>
        <w:spacing w:before="0" w:after="0" w:line="360" w:lineRule="auto"/>
        <w:widowControl/>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pStyle w:val="1028"/>
        <w:jc w:val="both"/>
        <w:spacing w:before="0" w:after="0" w:line="240" w:lineRule="auto"/>
        <w:widowControl/>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pStyle w:val="1040"/>
        <w:ind w:firstLine="480"/>
        <w:jc w:val="both"/>
        <w:spacing w:before="0" w:beforeAutospacing="0" w:after="0" w:afterAutospacing="0" w:line="240" w:lineRule="auto"/>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pStyle w:val="1040"/>
        <w:ind w:firstLine="480"/>
        <w:jc w:val="both"/>
        <w:spacing w:before="0" w:beforeAutospacing="0" w:after="0" w:afterAutospacing="0" w:line="240" w:lineRule="auto"/>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jc w:val="left"/>
        <w:widowControl/>
        <w:rPr>
          <w:rFonts w:hint="eastAsia" w:cs="Times New Roman" w:asciiTheme="minorEastAsia" w:hAnsiTheme="minorEastAsia"/>
          <w:b/>
          <w:bCs/>
          <w:color w:val="000000" w:themeColor="text1"/>
          <w:sz w:val="36"/>
          <w:szCs w:val="36"/>
          <w:highlight w:val="none"/>
          <w14:textFill>
            <w14:solidFill>
              <w14:schemeClr w14:val="tx1"/>
            </w14:solidFill>
          </w14:textFill>
        </w:rPr>
      </w:pPr>
      <w:r>
        <w:rPr>
          <w:rFonts w:cs="Times New Roman" w:asciiTheme="minorEastAsia" w:hAnsiTheme="minorEastAsia"/>
          <w:b/>
          <w:bCs/>
          <w:color w:val="000000" w:themeColor="text1"/>
          <w:sz w:val="36"/>
          <w:szCs w:val="36"/>
          <w:highlight w:val="none"/>
          <w14:textFill>
            <w14:solidFill>
              <w14:schemeClr w14:val="tx1"/>
            </w14:solidFill>
          </w14:textFill>
        </w:rPr>
        <w:br w:type="page" w:clear="all"/>
      </w:r>
      <w:r/>
    </w:p>
    <w:p>
      <w:pPr>
        <w:jc w:val="center"/>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投标文件目录</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六、特定资格要求的证明文件（如果本项目设置特定资格要求，则需要提供）</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七、法人授权书</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八、投标函</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九、中小企业声明函</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十、残疾人福利性单位声明函</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十一、投标分项报价表</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十二、</w:t>
      </w:r>
      <w:bookmarkStart w:id="486" w:name="OLE_LINK24"/>
      <w:r/>
      <w:bookmarkStart w:id="487" w:name="OLE_LINK23"/>
      <w:r>
        <w:rPr>
          <w:rFonts w:hint="eastAsia" w:asciiTheme="minorEastAsia" w:hAnsiTheme="minorEastAsia" w:cstheme="minorEastAsia"/>
          <w:color w:val="000000" w:themeColor="text1"/>
          <w:sz w:val="24"/>
          <w:highlight w:val="none"/>
          <w14:textFill>
            <w14:solidFill>
              <w14:schemeClr w14:val="tx1"/>
            </w14:solidFill>
          </w14:textFill>
        </w:rPr>
        <w:t xml:space="preserve">技术要求响应及偏离表</w:t>
      </w:r>
      <w:bookmarkEnd w:id="486"/>
      <w:r/>
      <w:bookmarkEnd w:id="487"/>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十三、</w:t>
      </w:r>
      <w:bookmarkStart w:id="488" w:name="OLE_LINK22"/>
      <w:r/>
      <w:bookmarkStart w:id="489" w:name="OLE_LINK21"/>
      <w:r>
        <w:rPr>
          <w:rFonts w:hint="eastAsia" w:asciiTheme="minorEastAsia" w:hAnsiTheme="minorEastAsia" w:cstheme="minorEastAsia"/>
          <w:color w:val="000000" w:themeColor="text1"/>
          <w:sz w:val="24"/>
          <w:highlight w:val="none"/>
          <w14:textFill>
            <w14:solidFill>
              <w14:schemeClr w14:val="tx1"/>
            </w14:solidFill>
          </w14:textFill>
        </w:rPr>
        <w:t xml:space="preserve">商务要求响应及偏离表</w:t>
      </w:r>
      <w:bookmarkEnd w:id="488"/>
      <w:r/>
      <w:bookmarkEnd w:id="489"/>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十四、开标一览表</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十五、服务方案等</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十六、盐城市政府采购事前信用承诺书</w:t>
      </w:r>
      <w:r/>
    </w:p>
    <w:p>
      <w:pPr>
        <w:ind w:firstLine="561"/>
        <w:spacing w:line="560" w:lineRule="exact"/>
        <w:widowControl/>
        <w:rPr>
          <w:rFonts w:hint="eastAsia" w:asciiTheme="minorEastAsia" w:hAnsi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十七、</w:t>
      </w:r>
      <w:r>
        <w:rPr>
          <w:rFonts w:hint="eastAsia" w:asciiTheme="minorEastAsia" w:hAnsiTheme="minorEastAsia" w:cstheme="minorEastAsia"/>
          <w:color w:val="000000" w:themeColor="text1"/>
          <w:sz w:val="24"/>
          <w:highlight w:val="none"/>
          <w:lang w:eastAsia="zh-CN"/>
          <w14:textFill>
            <w14:solidFill>
              <w14:schemeClr w14:val="tx1"/>
            </w14:solidFill>
          </w14:textFill>
        </w:rPr>
        <w:t xml:space="preserve">项目建设供应商承诺函</w:t>
      </w:r>
      <w:r/>
    </w:p>
    <w:p>
      <w:pPr>
        <w:pStyle w:val="80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0"/>
        <w:widowControl/>
        <w:rPr>
          <w:rFonts w:hint="eastAsia" w:cs="Times New Roman" w:asciiTheme="minorEastAsia" w:hAnsiTheme="minorEastAsia"/>
          <w:color w:val="000000" w:themeColor="text1"/>
          <w:sz w:val="28"/>
          <w:szCs w:val="28"/>
          <w:highlight w:val="none"/>
          <w14:textFill>
            <w14:solidFill>
              <w14:schemeClr w14:val="tx1"/>
            </w14:solidFill>
          </w14:textFill>
        </w:rPr>
      </w:pPr>
      <w:r>
        <w:rPr>
          <w:rFonts w:hint="eastAsia" w:cs="Times New Roman" w:asciiTheme="minorEastAsia" w:hAnsiTheme="minorEastAsia"/>
          <w:color w:val="000000" w:themeColor="text1"/>
          <w:sz w:val="28"/>
          <w:szCs w:val="28"/>
          <w:highlight w:val="none"/>
          <w14:textFill>
            <w14:solidFill>
              <w14:schemeClr w14:val="tx1"/>
            </w14:solidFill>
          </w14:textFill>
        </w:rPr>
      </w:r>
      <w:r/>
    </w:p>
    <w:p>
      <w:pPr>
        <w:jc w:val="lef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pStyle w:val="1040"/>
        <w:jc w:val="center"/>
        <w:spacing w:beforeAutospacing="0" w:afterAutospacing="0" w:line="400" w:lineRule="exact"/>
        <w:rPr>
          <w:rFonts w:hint="eastAsia" w:ascii="黑体" w:hAnsi="黑体" w:eastAsia="黑体" w:cs="黑体"/>
          <w:i/>
          <w:color w:val="000000" w:themeColor="text1"/>
          <w:sz w:val="32"/>
          <w:szCs w:val="32"/>
          <w:highlight w:val="none"/>
          <w:u w:val="single"/>
          <w14:textFill>
            <w14:solidFill>
              <w14:schemeClr w14:val="tx1"/>
            </w14:solidFill>
          </w14:textFill>
        </w:rPr>
        <w:outlineLvl w:val="1"/>
      </w:pPr>
      <w:r/>
      <w:bookmarkStart w:id="490" w:name="_Toc120614284"/>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keepLines w:val="0"/>
        <w:keepNext w:val="0"/>
        <w:pageBreakBefore w:val="0"/>
        <w:spacing w:before="180" w:line="5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二、上一年度的财务状况报告</w:t>
      </w:r>
      <w:r/>
    </w:p>
    <w:p>
      <w:pPr>
        <w:jc w:val="center"/>
        <w:keepLines w:val="0"/>
        <w:keepNext w:val="0"/>
        <w:pageBreakBefore w:val="0"/>
        <w:spacing w:line="500" w:lineRule="exact"/>
        <w:tabs>
          <w:tab w:val="left" w:pos="1331" w:leader="none"/>
        </w:tabs>
        <w:rPr>
          <w:rFonts w:hint="eastAsia" w:ascii="宋体" w:hAnsi="宋体" w:eastAsia="宋体" w:cs="宋体"/>
          <w:iCs/>
          <w:color w:val="000000" w:themeColor="text1"/>
          <w:sz w:val="24"/>
          <w:highlight w:val="none"/>
          <w14:textFill>
            <w14:solidFill>
              <w14:schemeClr w14:val="tx1"/>
            </w14:solidFill>
          </w14:textFill>
        </w:rPr>
      </w:pPr>
      <w:r>
        <w:rPr>
          <w:rFonts w:hint="eastAsia" w:ascii="宋体" w:hAnsi="宋体" w:eastAsia="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7"/>
        <w:ind w:firstLine="492"/>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三、具备履行合同所必需的设备和专业技术能力的书面声明</w:t>
      </w:r>
      <w:r/>
    </w:p>
    <w:p>
      <w:pPr>
        <w:pStyle w:val="827"/>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7"/>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主要设备有：</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827"/>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主要专业技术能力有：</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827"/>
        <w:ind w:firstLine="492"/>
        <w:jc w:val="center"/>
        <w:widowControl/>
        <w:rPr>
          <w:rFonts w:hint="eastAsia" w:ascii="方正小标宋_GBK" w:hAnsi="宋体" w:eastAsia="方正小标宋_GBK" w:cs="宋体"/>
          <w:iCs/>
          <w:color w:val="000000" w:themeColor="text1"/>
          <w:sz w:val="24"/>
          <w:szCs w:val="24"/>
          <w:highlight w:val="none"/>
          <w14:textFill>
            <w14:solidFill>
              <w14:schemeClr w14:val="tx1"/>
            </w14:solidFill>
          </w14:textFill>
        </w:rPr>
      </w:pPr>
      <w:r>
        <w:rPr>
          <w:rFonts w:hint="eastAsia" w:ascii="方正小标宋_GBK" w:hAnsi="宋体" w:eastAsia="方正小标宋_GBK" w:cs="宋体"/>
          <w:iCs/>
          <w:color w:val="000000" w:themeColor="text1"/>
          <w:sz w:val="24"/>
          <w:szCs w:val="24"/>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四、依法缴纳税收和社会保障资金的相关材料</w:t>
      </w:r>
      <w:r/>
    </w:p>
    <w:p>
      <w:pPr>
        <w:pStyle w:val="827"/>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7"/>
        <w:ind w:firstLine="492"/>
        <w:jc w:val="both"/>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五、参加政府采购活动前3年内在经营活动中没有重大违法记录的书面声明</w:t>
      </w:r>
      <w:r/>
    </w:p>
    <w:p>
      <w:pPr>
        <w:pStyle w:val="827"/>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7"/>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27"/>
        <w:ind w:firstLine="492"/>
        <w:jc w:val="both"/>
        <w:spacing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keepLines w:val="0"/>
        <w:keepNext w:val="0"/>
        <w:pageBreakBefore w:val="0"/>
        <w:spacing w:before="180" w:line="5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六、特定资格要求的证明文件</w:t>
      </w:r>
      <w:r/>
    </w:p>
    <w:p>
      <w:pPr>
        <w:pStyle w:val="827"/>
        <w:jc w:val="center"/>
        <w:keepLines w:val="0"/>
        <w:keepNext w:val="0"/>
        <w:pageBreakBefore w:val="0"/>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如果本项目申请人的特定资格要求中要求提供的，必须提供。</w:t>
      </w:r>
      <w:r/>
    </w:p>
    <w:p>
      <w:pPr>
        <w:jc w:val="left"/>
        <w:keepLines w:val="0"/>
        <w:keepNext w:val="0"/>
        <w:pageBreakBefore w:val="0"/>
        <w:spacing w:line="500" w:lineRule="exac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七、法人授权书</w:t>
      </w:r>
      <w:r/>
    </w:p>
    <w:p>
      <w:pPr>
        <w:pStyle w:val="827"/>
        <w:ind w:firstLine="480"/>
        <w:jc w:val="both"/>
        <w:spacing w:before="0" w:after="0"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本授权书声明：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（供应商名称）授权</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（被授权人的姓名）为我方就</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JSZC-320900-JZCG-G2025-0078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号</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盐城市公安局互联网信息处置平台（二期）项目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pStyle w:val="827"/>
        <w:ind w:firstLine="480"/>
        <w:jc w:val="both"/>
        <w:spacing w:before="0" w:after="0"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本授权书于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日起生效，特此声明。</w:t>
      </w:r>
      <w:r/>
    </w:p>
    <w:p>
      <w:pPr>
        <w:pStyle w:val="827"/>
        <w:ind w:firstLine="480"/>
        <w:jc w:val="both"/>
        <w:spacing w:before="0" w:after="0" w:line="56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491" w:name="_Hlt26955070"/>
      <w:r/>
      <w:bookmarkStart w:id="492" w:name="_Hlt26671380"/>
      <w:r/>
      <w:bookmarkStart w:id="493" w:name="_格式3__银行出具的资信证明"/>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被授权人身份证号码：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7"/>
        <w:ind w:firstLine="480"/>
        <w:jc w:val="both"/>
        <w:spacing w:before="0" w:after="0" w:line="56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被授权人联系电话：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（手机）              </w:t>
      </w:r>
      <w:r/>
    </w:p>
    <w:p>
      <w:pPr>
        <w:pStyle w:val="827"/>
        <w:ind w:firstLine="480"/>
        <w:jc w:val="both"/>
        <w:spacing w:before="0" w:after="0" w:line="56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授权单位名称：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（加盖CA电子公章）    </w:t>
      </w:r>
      <w:r/>
    </w:p>
    <w:p>
      <w:pPr>
        <w:pStyle w:val="827"/>
        <w:ind w:firstLine="480"/>
        <w:jc w:val="both"/>
        <w:spacing w:before="0" w:after="0" w:line="56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单位地址：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7"/>
        <w:ind w:firstLine="480"/>
        <w:jc w:val="both"/>
        <w:spacing w:before="0" w:after="0" w:line="56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    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7"/>
        <w:ind w:firstLine="480"/>
        <w:jc w:val="both"/>
        <w:spacing w:before="0" w:after="0"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八、投标函</w:t>
      </w:r>
      <w:r/>
    </w:p>
    <w:p>
      <w:pPr>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JSZC-320900-JZCG-G2025-0078</w:t>
      </w:r>
      <w:r>
        <w:rPr>
          <w:rFonts w:hint="eastAsia" w:ascii="宋体" w:hAnsi="宋体" w:cs="宋体"/>
          <w:color w:val="000000" w:themeColor="text1"/>
          <w:sz w:val="24"/>
          <w:highlight w:val="none"/>
          <w14:textFill>
            <w14:solidFill>
              <w14:schemeClr w14:val="tx1"/>
            </w14:solidFill>
          </w14:textFill>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按照</w:t>
      </w:r>
      <w:r>
        <w:rPr>
          <w:rFonts w:hint="eastAsia" w:ascii="宋体" w:hAnsi="宋体" w:cs="宋体"/>
          <w:color w:val="000000" w:themeColor="text1"/>
          <w:sz w:val="24"/>
          <w:highlight w:val="none"/>
          <w14:textFill>
            <w14:solidFill>
              <w14:schemeClr w14:val="tx1"/>
            </w14:solidFill>
          </w14:textFill>
        </w:rPr>
        <w:t xml:space="preserve">招标文件规定的各项要求，向买方提供所需服务（包含与服务相关的货物）。</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rPr>
          <w:color w:val="000000" w:themeColor="text1"/>
          <w:highlight w:val="none"/>
          <w14:textFill>
            <w14:solidFill>
              <w14:schemeClr w14:val="tx1"/>
            </w14:solidFill>
          </w14:textFill>
        </w:rPr>
        <w:t xml:space="preserve"> </w:t>
      </w:r>
      <w:r/>
    </w:p>
    <w:p>
      <w:pPr>
        <w:jc w:val="left"/>
        <w:widowControl/>
        <w:rPr>
          <w:rFonts w:hint="eastAsia" w:ascii="黑体" w:hAnsi="黑体" w:eastAsia="黑体" w:cs="黑体"/>
          <w:i/>
          <w:color w:val="000000" w:themeColor="text1"/>
          <w:sz w:val="32"/>
          <w:szCs w:val="32"/>
          <w:highlight w:val="none"/>
          <w14:textFill>
            <w14:solidFill>
              <w14:schemeClr w14:val="tx1"/>
            </w14:solidFill>
          </w14:textFill>
        </w:rPr>
      </w:pPr>
      <w:r>
        <w:rPr>
          <w:rFonts w:ascii="黑体" w:hAnsi="黑体" w:eastAsia="黑体" w:cs="黑体"/>
          <w:i/>
          <w:color w:val="000000" w:themeColor="text1"/>
          <w:sz w:val="32"/>
          <w:szCs w:val="32"/>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九、中小企业声明函（服务）</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盐城市公安局</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JSZC-320900-JZCG-G2025-0078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盐城市公安局互联网信息处置平台（二期）项目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jc w:val="left"/>
        <w:widowControl/>
        <w:rPr>
          <w:rFonts w:hint="eastAsia" w:ascii="黑体" w:hAnsi="黑体" w:eastAsia="黑体" w:cs="黑体"/>
          <w:i/>
          <w:color w:val="000000" w:themeColor="text1"/>
          <w:sz w:val="32"/>
          <w:szCs w:val="32"/>
          <w:highlight w:val="none"/>
          <w14:textFill>
            <w14:solidFill>
              <w14:schemeClr w14:val="tx1"/>
            </w14:solidFill>
          </w14:textFill>
        </w:rPr>
      </w:pPr>
      <w:r>
        <w:rPr>
          <w:rFonts w:ascii="黑体" w:hAnsi="黑体" w:eastAsia="黑体" w:cs="黑体"/>
          <w:i/>
          <w:color w:val="000000" w:themeColor="text1"/>
          <w:sz w:val="32"/>
          <w:szCs w:val="32"/>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lang w:eastAsia="zh-CN"/>
          <w14:textFill>
            <w14:solidFill>
              <w14:schemeClr w14:val="tx1"/>
            </w14:solidFill>
          </w14:textFill>
        </w:rPr>
        <w:t xml:space="preserve">〔2017〕141号</w:t>
      </w:r>
      <w:r>
        <w:rPr>
          <w:rFonts w:hint="eastAsia" w:ascii="宋体" w:hAnsi="宋体" w:cs="宋体"/>
          <w:color w:val="000000" w:themeColor="text1"/>
          <w:sz w:val="24"/>
          <w:highlight w:val="none"/>
          <w14:textFill>
            <w14:solidFill>
              <w14:schemeClr w14:val="tx1"/>
            </w14:solidFill>
          </w14:textFill>
        </w:rPr>
        <w:t xml:space="preserve">）的规定，本单位为符合条件的残疾人福利性单位，且本单位参加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盐城市公安局</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JSZC-320900-JZCG-G2025-0078</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盐城市公安局互联网信息处置平台（二期）项目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2"/>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2"/>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right="480"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        </w:t>
      </w:r>
      <w:r/>
    </w:p>
    <w:p>
      <w:pPr>
        <w:ind w:right="480"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w:t>
      </w:r>
      <w:r/>
    </w:p>
    <w:p>
      <w:pPr>
        <w:ind w:right="480" w:firstLine="480"/>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keepLines w:val="0"/>
        <w:keepNext w:val="0"/>
        <w:pageBreakBefore w:val="0"/>
        <w:spacing w:before="180" w:line="5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十一、投标分项报价表</w:t>
      </w:r>
      <w:r/>
    </w:p>
    <w:tbl>
      <w:tblPr>
        <w:tblStyle w:val="795"/>
        <w:tblW w:w="879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54"/>
        <w:gridCol w:w="1257"/>
        <w:gridCol w:w="1157"/>
        <w:gridCol w:w="1255"/>
        <w:gridCol w:w="1275"/>
        <w:gridCol w:w="1400"/>
        <w:gridCol w:w="1499"/>
      </w:tblGrid>
      <w:tr>
        <w:trPr>
          <w:tblCellSpacing w:w="0" w:type="dxa"/>
          <w:trHeight w:val="811"/>
        </w:trPr>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p>
        </w:tc>
      </w:tr>
      <w:tr>
        <w:trPr>
          <w:tblCellSpacing w:w="0" w:type="dxa"/>
          <w:trHeight w:val="1069"/>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分项服务名称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w:t>
            </w:r>
            <w:r/>
          </w:p>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w:t>
            </w:r>
            <w:r/>
          </w:p>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总价</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83"/>
        </w:trPr>
        <w:tc>
          <w:tcPr>
            <w:gridSpan w:val="6"/>
            <w:tcBorders>
              <w:top w:val="single" w:color="000000" w:sz="4" w:space="0"/>
              <w:left w:val="single" w:color="000000" w:sz="4" w:space="0"/>
              <w:bottom w:val="single" w:color="000000" w:sz="4" w:space="0"/>
              <w:right w:val="single" w:color="000000" w:sz="4" w:space="0"/>
            </w:tcBorders>
            <w:tcW w:w="7298" w:type="dxa"/>
            <w:vAlign w:val="center"/>
            <w:textDirection w:val="lrTb"/>
            <w:noWrap w:val="false"/>
          </w:tcPr>
          <w:p>
            <w:pPr>
              <w:pStyle w:val="827"/>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7"/>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bl>
    <w:p>
      <w:pPr>
        <w:pStyle w:val="827"/>
        <w:jc w:val="both"/>
        <w:keepLines w:val="0"/>
        <w:keepNext w:val="0"/>
        <w:pageBreakBefore w:val="0"/>
        <w:spacing w:line="5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其他所有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费用，招标文件另有规定的除外。2. “投标分项报价表”中“投标总报价”数额应当与“开标一览表”中“投标总报价”数额一致。</w:t>
      </w:r>
      <w:r/>
    </w:p>
    <w:p>
      <w:pPr>
        <w:pStyle w:val="827"/>
        <w:widowControl/>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r>
      <w:r/>
    </w:p>
    <w:p>
      <w:pPr>
        <w:widowControl/>
        <w:rPr>
          <w:rFonts w:hint="eastAsia" w:asciiTheme="minorEastAsia" w:hAnsiTheme="minorEastAsia"/>
          <w:color w:val="000000" w:themeColor="text1"/>
          <w:sz w:val="28"/>
          <w:szCs w:val="28"/>
          <w:highlight w:val="none"/>
          <w14:textFill>
            <w14:solidFill>
              <w14:schemeClr w14:val="tx1"/>
            </w14:solidFill>
          </w14:textFill>
        </w:rPr>
      </w:pPr>
      <w:r>
        <w:rPr>
          <w:rFonts w:asciiTheme="minorEastAsia" w:hAnsiTheme="minorEastAsia"/>
          <w:color w:val="000000" w:themeColor="text1"/>
          <w:sz w:val="28"/>
          <w:szCs w:val="28"/>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十二、技术要求响应及偏离表</w:t>
      </w:r>
      <w:r/>
    </w:p>
    <w:tbl>
      <w:tblPr>
        <w:tblStyle w:val="795"/>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序号</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招标文件要求</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响应情况</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超出、符合或偏离</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证明材料</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2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bl>
    <w:p>
      <w:pPr>
        <w:pStyle w:val="827"/>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注：行数不够，可自行添加。</w:t>
      </w:r>
      <w:r/>
    </w:p>
    <w:p>
      <w:pPr>
        <w:pStyle w:val="827"/>
        <w:widowControl/>
        <w:rPr>
          <w:rFonts w:hint="eastAsia"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 </w:t>
      </w:r>
      <w:bookmarkStart w:id="494" w:name="_Hlt26955054"/>
      <w:r/>
      <w:r/>
    </w:p>
    <w:p>
      <w:pPr>
        <w:jc w:val="lef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十三、商务要求响应及偏离表</w:t>
      </w:r>
      <w:r/>
    </w:p>
    <w:tbl>
      <w:tblPr>
        <w:tblStyle w:val="795"/>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序号</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招标文件要求</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响应情况</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超出、符合或偏离</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bl>
    <w:p>
      <w:pPr>
        <w:pStyle w:val="827"/>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注：行数不够，可自行添加。</w:t>
      </w:r>
      <w:r/>
    </w:p>
    <w:p>
      <w:pPr>
        <w:pStyle w:val="827"/>
        <w:jc w:val="center"/>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hint="eastAsia" w:ascii="方正小标宋_GBK" w:hAnsi="宋体" w:eastAsia="方正小标宋_GBK" w:cs="黑体"/>
          <w:iCs/>
          <w:color w:val="000000" w:themeColor="text1"/>
          <w:sz w:val="30"/>
          <w:szCs w:val="30"/>
          <w:highlight w:val="none"/>
          <w14:textFill>
            <w14:solidFill>
              <w14:schemeClr w14:val="tx1"/>
            </w14:solidFill>
          </w14:textFill>
        </w:rPr>
      </w:r>
      <w:r/>
    </w:p>
    <w:p>
      <w:pPr>
        <w:jc w:val="lef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十四、开标一览表</w:t>
      </w:r>
      <w:r/>
    </w:p>
    <w:p>
      <w:pPr>
        <w:pStyle w:val="1040"/>
        <w:ind w:firstLine="0"/>
        <w:jc w:val="both"/>
        <w:spacing w:before="0" w:beforeAutospacing="0" w:after="0" w:afterAutospacing="0" w:line="460" w:lineRule="exact"/>
        <w:rPr>
          <w:rFonts w:hint="eastAsia" w:asciiTheme="minorEastAsia" w:hAnsiTheme="minorEastAsia" w:eastAsiaTheme="minorEastAsia" w:cs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Cs w:val="24"/>
          <w:highlight w:val="none"/>
          <w:lang w:eastAsia="zh-CN"/>
          <w14:textFill>
            <w14:solidFill>
              <w14:schemeClr w14:val="tx1"/>
            </w14:solidFill>
          </w14:textFill>
        </w:rPr>
        <w:t xml:space="preserve">JSZC-320900-JZCG-G2025-0078</w:t>
      </w:r>
      <w:r/>
    </w:p>
    <w:p>
      <w:pP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货币单位：人民币元</w:t>
      </w:r>
      <w:r/>
    </w:p>
    <w:tbl>
      <w:tblPr>
        <w:tblStyle w:val="831"/>
        <w:tblW w:w="86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3"/>
        <w:gridCol w:w="2997"/>
        <w:gridCol w:w="2548"/>
      </w:tblGrid>
      <w:tr>
        <w:trPr>
          <w:trHeight w:val="865"/>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997"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8"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总价（小写）</w:t>
            </w:r>
            <w:r/>
          </w:p>
        </w:tc>
      </w:tr>
      <w:tr>
        <w:trPr>
          <w:trHeight w:val="1169"/>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盐城市公安局互联网</w:t>
            </w:r>
            <w:r>
              <w:rPr>
                <w:rFonts w:hint="eastAsia" w:ascii="宋体" w:hAnsi="宋体" w:eastAsia="宋体" w:cs="宋体"/>
                <w:color w:val="000000" w:themeColor="text1"/>
                <w:sz w:val="24"/>
                <w:highlight w:val="none"/>
                <w:lang w:eastAsia="zh-CN"/>
                <w14:textFill>
                  <w14:solidFill>
                    <w14:schemeClr w14:val="tx1"/>
                  </w14:solidFill>
                </w14:textFill>
              </w:rPr>
              <w:t xml:space="preserve">信息</w:t>
            </w:r>
            <w:r>
              <w:rPr>
                <w:rFonts w:hint="eastAsia" w:ascii="宋体" w:hAnsi="宋体" w:eastAsia="宋体" w:cs="宋体"/>
                <w:color w:val="000000" w:themeColor="text1"/>
                <w:sz w:val="24"/>
                <w:highlight w:val="none"/>
                <w14:textFill>
                  <w14:solidFill>
                    <w14:schemeClr w14:val="tx1"/>
                  </w14:solidFill>
                </w14:textFill>
              </w:rPr>
              <w:t xml:space="preserve">处置平台（二期）</w:t>
            </w:r>
            <w:r>
              <w:rPr>
                <w:rFonts w:ascii="宋体" w:hAnsi="宋体" w:eastAsia="宋体" w:cs="宋体"/>
                <w:color w:val="000000" w:themeColor="text1"/>
                <w:sz w:val="24"/>
                <w:highlight w:val="none"/>
                <w14:textFill>
                  <w14:solidFill>
                    <w14:schemeClr w14:val="tx1"/>
                  </w14:solidFill>
                </w14:textFill>
              </w:rPr>
              <w:t xml:space="preserve">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997"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8"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       元</w:t>
            </w:r>
            <w:r/>
          </w:p>
        </w:tc>
      </w:tr>
      <w:tr>
        <w:trPr>
          <w:trHeight w:val="1112"/>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545"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金额大写</w:t>
            </w:r>
            <w:r/>
          </w:p>
        </w:tc>
      </w:tr>
    </w:tbl>
    <w:p>
      <w:pP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p>
      <w:pPr>
        <w:jc w:val="right"/>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投标人公章：（电子签章）</w:t>
      </w:r>
      <w:r/>
    </w:p>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highlight w:val="none"/>
          <w14:textFill>
            <w14:solidFill>
              <w14:schemeClr w14:val="tx1"/>
            </w14:solidFill>
          </w14:textFill>
        </w:rPr>
        <w:t xml:space="preserve">日期： 年 月 日</w:t>
      </w:r>
      <w:r/>
    </w:p>
    <w:p>
      <w:pPr>
        <w:pStyle w:val="1040"/>
        <w:ind w:right="279" w:firstLine="480"/>
        <w:jc w:val="righ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widowControl/>
        <w:rPr>
          <w:rFonts w:hint="eastAsia" w:ascii="宋体" w:hAnsi="宋体" w:eastAsia="宋体" w:cs="宋体"/>
          <w:color w:val="000000" w:themeColor="text1"/>
          <w:sz w:val="24"/>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十五、服务方案等</w:t>
      </w:r>
      <w:r/>
    </w:p>
    <w:p>
      <w:pPr>
        <w:jc w:val="center"/>
        <w:spacing w:line="499" w:lineRule="atLeas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hint="eastAsia" w:cs="Times New Roman" w:asciiTheme="minorEastAsia" w:hAnsiTheme="minorEastAsia"/>
          <w:color w:val="000000" w:themeColor="text1"/>
          <w:sz w:val="32"/>
          <w:szCs w:val="32"/>
          <w:highlight w:val="none"/>
          <w14:textFill>
            <w14:solidFill>
              <w14:schemeClr w14:val="tx1"/>
            </w14:solidFill>
          </w14:textFill>
        </w:rPr>
      </w:r>
      <w:r/>
    </w:p>
    <w:p>
      <w:pPr>
        <w:jc w:val="center"/>
        <w:spacing w:line="499" w:lineRule="atLeas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hint="eastAsia" w:cs="Times New Roman" w:asciiTheme="minorEastAsia" w:hAnsiTheme="minorEastAsia"/>
          <w:color w:val="000000" w:themeColor="text1"/>
          <w:sz w:val="32"/>
          <w:szCs w:val="32"/>
          <w:highlight w:val="none"/>
          <w14:textFill>
            <w14:solidFill>
              <w14:schemeClr w14:val="tx1"/>
            </w14:solidFill>
          </w14:textFill>
        </w:rPr>
      </w:r>
      <w:r/>
    </w:p>
    <w:p>
      <w:pPr>
        <w:jc w:val="center"/>
        <w:spacing w:line="499" w:lineRule="atLeas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hint="eastAsia" w:cs="Times New Roman" w:asciiTheme="minorEastAsia" w:hAnsiTheme="minorEastAsia"/>
          <w:color w:val="000000" w:themeColor="text1"/>
          <w:sz w:val="32"/>
          <w:szCs w:val="32"/>
          <w:highlight w:val="none"/>
          <w14:textFill>
            <w14:solidFill>
              <w14:schemeClr w14:val="tx1"/>
            </w14:solidFill>
          </w14:textFill>
        </w:rPr>
      </w:r>
      <w:r/>
    </w:p>
    <w:p>
      <w:pPr>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cs="Times New Roman" w:asciiTheme="minorEastAsia" w:hAnsiTheme="minorEastAsia"/>
          <w:color w:val="000000" w:themeColor="text1"/>
          <w:sz w:val="32"/>
          <w:szCs w:val="32"/>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十六、盐城市政府采购事前信用承诺书</w:t>
      </w:r>
      <w:bookmarkEnd w:id="7"/>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101"/>
      <w:r/>
      <w:bookmarkEnd w:id="102"/>
      <w:r/>
      <w:bookmarkEnd w:id="112"/>
      <w:r/>
      <w:bookmarkEnd w:id="483"/>
      <w:r/>
      <w:bookmarkEnd w:id="484"/>
      <w:r/>
      <w:bookmarkEnd w:id="485"/>
      <w:r/>
      <w:bookmarkEnd w:id="490"/>
      <w:r/>
      <w:bookmarkEnd w:id="491"/>
      <w:r/>
      <w:bookmarkEnd w:id="492"/>
      <w:r/>
      <w:bookmarkEnd w:id="493"/>
      <w:r/>
      <w:bookmarkEnd w:id="494"/>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（四）严格遵守即时信息公示规定，及时维护和更新盐城市政府采购网中与本单位相关的信息；</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000000" w:themeColor="text1"/>
          <w:sz w:val="24"/>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（六）自觉接受政府、行业组织、社会公众、新闻舆论的监督；</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000000" w:themeColor="text1"/>
          <w:sz w:val="24"/>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（八）本人已认真阅读了上述承诺，并向本单位员工</w:t>
      </w:r>
      <w:r>
        <w:rPr>
          <w:rFonts w:hint="eastAsia"/>
          <w:color w:val="000000" w:themeColor="text1"/>
          <w:sz w:val="24"/>
          <w:highlight w:val="none"/>
          <w:lang w:eastAsia="zh-CN"/>
          <w14:textFill>
            <w14:solidFill>
              <w14:schemeClr w14:val="tx1"/>
            </w14:solidFill>
          </w14:textFill>
        </w:rPr>
        <w:t xml:space="preserve">做</w:t>
      </w:r>
      <w:r>
        <w:rPr>
          <w:rFonts w:hint="eastAsia"/>
          <w:color w:val="000000" w:themeColor="text1"/>
          <w:sz w:val="24"/>
          <w:highlight w:val="none"/>
          <w14:textFill>
            <w14:solidFill>
              <w14:schemeClr w14:val="tx1"/>
            </w14:solidFill>
          </w14:textFill>
        </w:rPr>
        <w:t xml:space="preserve">了宣传教育。</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firstLine="440"/>
        <w:jc w:val="right"/>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法定代表人（签名）：          </w:t>
      </w:r>
      <w:r/>
    </w:p>
    <w:p>
      <w:pPr>
        <w:ind w:firstLine="440"/>
        <w:jc w:val="right"/>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单位名称（盖章）：          </w:t>
      </w:r>
      <w:r/>
    </w:p>
    <w:p>
      <w:pPr>
        <w:ind w:firstLine="440"/>
        <w:spacing w:line="520" w:lineRule="exac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年   月   日</w:t>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十七、项目建设供应商承诺函</w:t>
      </w:r>
      <w:r/>
    </w:p>
    <w:p>
      <w:pPr>
        <w:spacing w:line="54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对未列出的其他事项，严格按照法律法规等具体规定执行。</w:t>
      </w:r>
      <w:r/>
    </w:p>
    <w:p>
      <w:pPr>
        <w:ind w:firstLine="42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现承诺，我单位在履行</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项目名称  ）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的项目建设中，将严格按照提示函的内容和要求执行，如若违反愿意承担相应的责任。</w:t>
      </w:r>
      <w:r/>
    </w:p>
    <w:p>
      <w:pPr>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供应商项目负责人（签字）：            联系方式：</w:t>
      </w:r>
      <w:r/>
    </w:p>
    <w:p>
      <w:pPr>
        <w:ind w:firstLine="440"/>
        <w:spacing w:line="520" w:lineRule="exac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质疑函范本</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一、质疑供应商基本信息</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质疑供应商：</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地址：</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邮编：</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联系人：</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联系电话：</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授权代表：</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联系电话：</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地址：</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邮编：</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二、质疑项目基本情况</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质疑项目的名称：</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质疑项目的编号：</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包号：</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采购人名称：</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采购文件获取日期：</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三、质疑事项具体内容</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质疑事项1：</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事实依据：</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法律依据：</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质疑事项2</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四、与质疑事项相关的质疑请求</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请求：</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签字（签章）：          公章：               日期：    </w:t>
      </w:r>
      <w:r/>
    </w:p>
    <w:p>
      <w:pPr>
        <w:pStyle w:val="827"/>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质疑函制作说明：</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2"/>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 供应商提出质疑时，应提交质疑函和必要的证明材料。</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 质疑供应商若对项目的某一分包进行质疑，质疑函中应列明具体分包号。</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4. 质疑函的质疑事项应具体、明确，并有必要的事实依据和法律依据。</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2"/>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5. 质疑函的质疑请求应与质疑事项相关。</w:t>
      </w:r>
      <w:r/>
    </w:p>
    <w:p>
      <w:pPr>
        <w:pStyle w:val="827"/>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6. 质疑供应商为自然人的，质疑函应由本人签字；质疑供应商为法人或者其他组织的，质疑函应由法定代表人、主要负责人，或者其授权代表签字或者盖章，并加盖公章。</w:t>
      </w:r>
      <w:r/>
    </w:p>
    <w:sectPr>
      <w:footerReference w:type="default" r:id="rId13"/>
      <w:footerReference w:type="first" r:id="rId14"/>
      <w:footnotePr/>
      <w:endnotePr/>
      <w:type w:val="nextPage"/>
      <w:pgSz w:w="11906" w:h="16838" w:orient="portrait"/>
      <w:pgMar w:top="1440" w:right="1633" w:bottom="1440" w:left="1633" w:header="737" w:footer="1134"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2312">
    <w:panose1 w:val="020B0503020202020204"/>
  </w:font>
  <w:font w:name="Courier New">
    <w:panose1 w:val="02070309020205020404"/>
  </w:font>
  <w:font w:name="Monaco">
    <w:panose1 w:val="020B0503020202020204"/>
  </w:font>
  <w:font w:name="Calibri">
    <w:panose1 w:val="020F0502020204030204"/>
  </w:font>
  <w:font w:name="楷体_GB2312">
    <w:panose1 w:val="02010609060101010101"/>
  </w:font>
  <w:font w:name="黑体">
    <w:panose1 w:val="02010609060101010101"/>
  </w:font>
  <w:font w:name="Arial">
    <w:panose1 w:val="020B0604020202020204"/>
  </w:font>
  <w:font w:name="Arial Unicode MS">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Fonts w:hint="eastAsia" w:ascii="宋体" w:hAnsi="宋体" w:eastAsia="宋体"/>
        <w:sz w:val="28"/>
        <w:szCs w:val="28"/>
      </w:rPr>
    </w:pPr>
    <w:r>
      <w:rPr>
        <w:rFonts w:hint="eastAsia"/>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050" cy="13970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46088" cy="139526"/>
                      </a:xfrm>
                      <a:prstGeom prst="rect">
                        <a:avLst/>
                      </a:prstGeom>
                      <a:noFill/>
                      <a:ln w="6350">
                        <a:noFill/>
                      </a:ln>
                    </wps:spPr>
                    <wps:txbx>
                      <w:txbxContent>
                        <w:p>
                          <w:pPr>
                            <w:pStyle w:val="815"/>
                            <w:rPr>
                              <w:rFonts w:hint="eastAsia"/>
                              <w:lang w:val="en-US" w:eastAsia="zh-CN"/>
                            </w:rPr>
                          </w:pPr>
                          <w:r>
                            <w:rPr>
                              <w:rFonts w:hint="eastAsia"/>
                              <w:lang w:val="en-US" w:eastAsia="zh-CN"/>
                            </w:rPr>
                            <w:t xml:space="preserve">1</w:t>
                          </w:r>
                          <w:r/>
                        </w:p>
                        <w:p>
                          <w:pPr>
                            <w:pStyle w:val="815"/>
                            <w:rPr>
                              <w:rFonts w:hint="eastAsia"/>
                              <w:lang w:val="en-US" w:eastAsia="zh-CN"/>
                            </w:rPr>
                          </w:pPr>
                          <w:r>
                            <w:rPr>
                              <w:rFonts w:hint="eastAsia"/>
                              <w:lang w:val="en-US" w:eastAsia="zh-CN"/>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5pt;height:11.0pt;mso-wrap-distance-left:9.0pt;mso-wrap-distance-top:0.0pt;mso-wrap-distance-right:9.0pt;mso-wrap-distance-bottom:0.0pt;v-text-anchor:top;visibility:visible;" filled="f" stroked="f" strokeweight="0.50pt">
              <v:textbox inset="0,0,0,0">
                <w:txbxContent>
                  <w:p>
                    <w:pPr>
                      <w:pStyle w:val="815"/>
                      <w:rPr>
                        <w:rFonts w:hint="eastAsia"/>
                        <w:lang w:val="en-US" w:eastAsia="zh-CN"/>
                      </w:rPr>
                    </w:pPr>
                    <w:r>
                      <w:rPr>
                        <w:rFonts w:hint="eastAsia"/>
                        <w:lang w:val="en-US" w:eastAsia="zh-CN"/>
                      </w:rPr>
                      <w:t xml:space="preserve">1</w:t>
                    </w:r>
                    <w:r/>
                  </w:p>
                  <w:p>
                    <w:pPr>
                      <w:pStyle w:val="815"/>
                      <w:rPr>
                        <w:rFonts w:hint="eastAsia"/>
                        <w:lang w:val="en-US" w:eastAsia="zh-CN"/>
                      </w:rPr>
                    </w:pPr>
                    <w:r>
                      <w:rPr>
                        <w:rFonts w:hint="eastAsia"/>
                        <w:lang w:val="en-US" w:eastAsia="zh-C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Fonts w:hint="eastAsia"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2682240</wp:posOffset>
              </wp:positionH>
              <wp:positionV relativeFrom="paragraph">
                <wp:posOffset>0</wp:posOffset>
              </wp:positionV>
              <wp:extent cx="207645" cy="17399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0764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11.2pt;mso-position-horizontal:absolute;mso-position-vertical-relative:text;margin-top:0.0pt;mso-position-vertical:absolute;width:16.3pt;height:13.7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JSZC-320900-JZCG-G2025-0078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JSZC-320900-JZCG-G2025-0078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87"/>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space"/>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85">
    <w:name w:val="Heading 1"/>
    <w:basedOn w:val="784"/>
    <w:next w:val="784"/>
    <w:link w:val="1055"/>
    <w:uiPriority w:val="9"/>
    <w:qFormat/>
    <w:pPr>
      <w:keepLines/>
      <w:keepNext/>
      <w:spacing w:before="340" w:after="330" w:line="578" w:lineRule="auto"/>
      <w:outlineLvl w:val="0"/>
    </w:pPr>
    <w:rPr>
      <w:b/>
      <w:bCs/>
      <w:sz w:val="44"/>
      <w:szCs w:val="44"/>
    </w:rPr>
  </w:style>
  <w:style w:type="paragraph" w:styleId="786">
    <w:name w:val="Heading 2"/>
    <w:basedOn w:val="784"/>
    <w:next w:val="784"/>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787">
    <w:name w:val="Heading 3"/>
    <w:basedOn w:val="784"/>
    <w:next w:val="784"/>
    <w:uiPriority w:val="0"/>
    <w:unhideWhenUsed/>
    <w:qFormat/>
    <w:pPr>
      <w:numPr>
        <w:ilvl w:val="2"/>
        <w:numId w:val="1"/>
      </w:numPr>
      <w:keepLines/>
      <w:keepNext/>
      <w:spacing w:before="260" w:after="260" w:line="415" w:lineRule="auto"/>
      <w:outlineLvl w:val="2"/>
    </w:pPr>
    <w:rPr>
      <w:rFonts w:ascii="黑体" w:hAnsi="黑体" w:eastAsia="黑体" w:cs="黑体"/>
      <w:b/>
      <w:bCs/>
      <w:sz w:val="28"/>
      <w:szCs w:val="28"/>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Normal Indent"/>
    <w:basedOn w:val="784"/>
    <w:link w:val="1029"/>
    <w:uiPriority w:val="0"/>
    <w:qFormat/>
    <w:pPr>
      <w:ind w:firstLine="420"/>
      <w:jc w:val="left"/>
    </w:pPr>
    <w:rPr>
      <w:rFonts w:ascii="Times New Roman" w:hAnsi="Times New Roman" w:eastAsia="楷体_GB2312" w:cs="Times New Roman"/>
      <w:sz w:val="24"/>
      <w:szCs w:val="20"/>
    </w:rPr>
  </w:style>
  <w:style w:type="paragraph" w:styleId="798">
    <w:name w:val="Caption"/>
    <w:basedOn w:val="784"/>
    <w:next w:val="7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9">
    <w:name w:val="Document Map"/>
    <w:basedOn w:val="784"/>
    <w:link w:val="1068"/>
    <w:uiPriority w:val="99"/>
    <w:semiHidden/>
    <w:unhideWhenUsed/>
    <w:qFormat/>
    <w:rPr>
      <w:rFonts w:ascii="宋体" w:eastAsia="宋体"/>
      <w:sz w:val="18"/>
      <w:szCs w:val="18"/>
    </w:rPr>
  </w:style>
  <w:style w:type="paragraph" w:styleId="800">
    <w:name w:val="annotation text"/>
    <w:basedOn w:val="784"/>
    <w:link w:val="1061"/>
    <w:uiPriority w:val="0"/>
    <w:qFormat/>
    <w:pPr>
      <w:jc w:val="left"/>
    </w:pPr>
  </w:style>
  <w:style w:type="paragraph" w:styleId="801">
    <w:name w:val="Body Text"/>
    <w:basedOn w:val="784"/>
    <w:next w:val="802"/>
    <w:link w:val="1030"/>
    <w:uiPriority w:val="0"/>
    <w:qFormat/>
    <w:rPr>
      <w:rFonts w:ascii="Times New Roman" w:hAnsi="Times New Roman" w:eastAsia="宋体" w:cs="Times New Roman"/>
      <w:szCs w:val="20"/>
    </w:rPr>
  </w:style>
  <w:style w:type="paragraph" w:styleId="802" w:customStyle="1">
    <w:name w:val="一级条标题"/>
    <w:basedOn w:val="803"/>
    <w:next w:val="8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3" w:customStyle="1">
    <w:name w:val="章标题"/>
    <w:next w:val="7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4" w:customStyle="1">
    <w:name w:val="段"/>
    <w:next w:val="78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805">
    <w:name w:val="Body Text Indent"/>
    <w:basedOn w:val="784"/>
    <w:next w:val="784"/>
    <w:link w:val="1037"/>
    <w:uiPriority w:val="0"/>
    <w:qFormat/>
    <w:pPr>
      <w:ind w:left="420"/>
      <w:spacing w:after="120"/>
    </w:pPr>
  </w:style>
  <w:style w:type="paragraph" w:styleId="806">
    <w:name w:val="index 4"/>
    <w:basedOn w:val="784"/>
    <w:next w:val="784"/>
    <w:uiPriority w:val="99"/>
    <w:unhideWhenUsed/>
    <w:qFormat/>
    <w:rPr>
      <w:sz w:val="24"/>
    </w:rPr>
  </w:style>
  <w:style w:type="paragraph" w:styleId="807">
    <w:name w:val="toc 5"/>
    <w:basedOn w:val="784"/>
    <w:next w:val="784"/>
    <w:uiPriority w:val="39"/>
    <w:unhideWhenUsed/>
    <w:qFormat/>
    <w:pPr>
      <w:ind w:left="1134"/>
      <w:spacing w:after="57"/>
    </w:pPr>
  </w:style>
  <w:style w:type="paragraph" w:styleId="808">
    <w:name w:val="toc 3"/>
    <w:basedOn w:val="784"/>
    <w:next w:val="784"/>
    <w:uiPriority w:val="39"/>
    <w:unhideWhenUsed/>
    <w:qFormat/>
    <w:pPr>
      <w:ind w:left="567"/>
      <w:spacing w:after="57"/>
    </w:pPr>
  </w:style>
  <w:style w:type="paragraph" w:styleId="809">
    <w:name w:val="Plain Text"/>
    <w:basedOn w:val="784"/>
    <w:link w:val="1060"/>
    <w:uiPriority w:val="0"/>
    <w:qFormat/>
    <w:rPr>
      <w:rFonts w:ascii="宋体" w:hAnsi="Courier New" w:eastAsia="宋体" w:cs="Courier New"/>
      <w:szCs w:val="21"/>
    </w:rPr>
  </w:style>
  <w:style w:type="paragraph" w:styleId="810">
    <w:name w:val="toc 8"/>
    <w:basedOn w:val="784"/>
    <w:next w:val="784"/>
    <w:uiPriority w:val="39"/>
    <w:unhideWhenUsed/>
    <w:qFormat/>
    <w:pPr>
      <w:ind w:left="1984"/>
      <w:spacing w:after="57"/>
    </w:pPr>
  </w:style>
  <w:style w:type="paragraph" w:styleId="811">
    <w:name w:val="Date"/>
    <w:basedOn w:val="784"/>
    <w:next w:val="784"/>
    <w:link w:val="1042"/>
    <w:uiPriority w:val="0"/>
    <w:qFormat/>
    <w:pPr>
      <w:ind w:left="100"/>
    </w:pPr>
  </w:style>
  <w:style w:type="paragraph" w:styleId="812">
    <w:name w:val="Body Text Indent 2"/>
    <w:basedOn w:val="784"/>
    <w:next w:val="784"/>
    <w:link w:val="1033"/>
    <w:uiPriority w:val="0"/>
    <w:qFormat/>
    <w:pPr>
      <w:ind w:left="420"/>
      <w:spacing w:after="120" w:line="480" w:lineRule="auto"/>
    </w:pPr>
  </w:style>
  <w:style w:type="paragraph" w:styleId="813">
    <w:name w:val="endnote text"/>
    <w:basedOn w:val="784"/>
    <w:link w:val="1021"/>
    <w:uiPriority w:val="99"/>
    <w:semiHidden/>
    <w:unhideWhenUsed/>
    <w:qFormat/>
    <w:rPr>
      <w:sz w:val="20"/>
    </w:rPr>
  </w:style>
  <w:style w:type="paragraph" w:styleId="814">
    <w:name w:val="Balloon Text"/>
    <w:basedOn w:val="784"/>
    <w:link w:val="1044"/>
    <w:uiPriority w:val="0"/>
    <w:qFormat/>
    <w:rPr>
      <w:sz w:val="18"/>
      <w:szCs w:val="18"/>
    </w:rPr>
  </w:style>
  <w:style w:type="paragraph" w:styleId="815">
    <w:name w:val="Footer"/>
    <w:basedOn w:val="784"/>
    <w:link w:val="1053"/>
    <w:uiPriority w:val="99"/>
    <w:unhideWhenUsed/>
    <w:qFormat/>
    <w:pPr>
      <w:jc w:val="left"/>
      <w:tabs>
        <w:tab w:val="center" w:pos="4153" w:leader="none"/>
        <w:tab w:val="right" w:pos="8306" w:leader="none"/>
      </w:tabs>
    </w:pPr>
    <w:rPr>
      <w:sz w:val="18"/>
      <w:szCs w:val="18"/>
    </w:rPr>
  </w:style>
  <w:style w:type="paragraph" w:styleId="816">
    <w:name w:val="Header"/>
    <w:basedOn w:val="784"/>
    <w:link w:val="105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4"/>
    <w:next w:val="784"/>
    <w:uiPriority w:val="39"/>
    <w:qFormat/>
    <w:pPr>
      <w:jc w:val="left"/>
      <w:spacing w:before="120" w:after="120" w:line="400" w:lineRule="exact"/>
    </w:pPr>
    <w:rPr>
      <w:rFonts w:hint="eastAsia" w:ascii="宋体" w:hAnsi="宋体" w:eastAsia="宋体" w:cs="Times New Roman"/>
      <w:caps/>
      <w:sz w:val="24"/>
    </w:rPr>
  </w:style>
  <w:style w:type="paragraph" w:styleId="818">
    <w:name w:val="toc 4"/>
    <w:basedOn w:val="784"/>
    <w:next w:val="784"/>
    <w:uiPriority w:val="39"/>
    <w:unhideWhenUsed/>
    <w:qFormat/>
    <w:pPr>
      <w:ind w:left="850"/>
      <w:spacing w:after="57"/>
    </w:pPr>
  </w:style>
  <w:style w:type="paragraph" w:styleId="819">
    <w:name w:val="Subtitle"/>
    <w:basedOn w:val="784"/>
    <w:next w:val="784"/>
    <w:link w:val="886"/>
    <w:uiPriority w:val="11"/>
    <w:qFormat/>
    <w:pPr>
      <w:spacing w:before="200" w:after="200"/>
    </w:pPr>
    <w:rPr>
      <w:sz w:val="24"/>
    </w:rPr>
  </w:style>
  <w:style w:type="paragraph" w:styleId="820">
    <w:name w:val="footnote text"/>
    <w:basedOn w:val="784"/>
    <w:link w:val="1020"/>
    <w:uiPriority w:val="99"/>
    <w:semiHidden/>
    <w:unhideWhenUsed/>
    <w:qFormat/>
    <w:pPr>
      <w:spacing w:after="40"/>
    </w:pPr>
    <w:rPr>
      <w:sz w:val="18"/>
    </w:rPr>
  </w:style>
  <w:style w:type="paragraph" w:styleId="821">
    <w:name w:val="toc 6"/>
    <w:basedOn w:val="784"/>
    <w:next w:val="784"/>
    <w:uiPriority w:val="39"/>
    <w:unhideWhenUsed/>
    <w:qFormat/>
    <w:pPr>
      <w:ind w:left="1417"/>
      <w:spacing w:after="57"/>
    </w:pPr>
  </w:style>
  <w:style w:type="paragraph" w:styleId="822">
    <w:name w:val="Body Text Indent 3"/>
    <w:basedOn w:val="784"/>
    <w:link w:val="1035"/>
    <w:uiPriority w:val="0"/>
    <w:qFormat/>
    <w:pPr>
      <w:ind w:left="420"/>
      <w:spacing w:after="120"/>
    </w:pPr>
    <w:rPr>
      <w:sz w:val="16"/>
      <w:szCs w:val="16"/>
    </w:rPr>
  </w:style>
  <w:style w:type="paragraph" w:styleId="823">
    <w:name w:val="index 9"/>
    <w:basedOn w:val="784"/>
    <w:next w:val="784"/>
    <w:uiPriority w:val="0"/>
    <w:qFormat/>
    <w:pPr>
      <w:ind w:left="1600"/>
    </w:pPr>
    <w:rPr>
      <w:rFonts w:ascii="Times New Roman" w:hAnsi="Times New Roman" w:eastAsia="宋体" w:cs="Times New Roman"/>
    </w:rPr>
  </w:style>
  <w:style w:type="paragraph" w:styleId="824">
    <w:name w:val="table of figures"/>
    <w:basedOn w:val="784"/>
    <w:next w:val="784"/>
    <w:uiPriority w:val="99"/>
    <w:unhideWhenUsed/>
    <w:qFormat/>
  </w:style>
  <w:style w:type="paragraph" w:styleId="825">
    <w:name w:val="toc 2"/>
    <w:basedOn w:val="784"/>
    <w:next w:val="784"/>
    <w:uiPriority w:val="39"/>
    <w:unhideWhenUsed/>
    <w:qFormat/>
    <w:pPr>
      <w:ind w:left="283"/>
      <w:spacing w:after="57"/>
    </w:pPr>
  </w:style>
  <w:style w:type="paragraph" w:styleId="826">
    <w:name w:val="toc 9"/>
    <w:basedOn w:val="784"/>
    <w:next w:val="784"/>
    <w:uiPriority w:val="39"/>
    <w:unhideWhenUsed/>
    <w:qFormat/>
    <w:pPr>
      <w:ind w:left="2268"/>
      <w:spacing w:after="57"/>
    </w:pPr>
  </w:style>
  <w:style w:type="paragraph" w:styleId="827">
    <w:name w:val="Normal (Web)"/>
    <w:basedOn w:val="784"/>
    <w:uiPriority w:val="0"/>
    <w:qFormat/>
    <w:pPr>
      <w:jc w:val="left"/>
      <w:spacing w:before="120" w:after="120" w:line="0" w:lineRule="atLeast"/>
    </w:pPr>
    <w:rPr>
      <w:rFonts w:ascii="Times New Roman" w:hAnsi="Times New Roman" w:eastAsia="方正仿宋_GB2312" w:cs="Times New Roman"/>
      <w:sz w:val="32"/>
      <w:szCs w:val="32"/>
    </w:rPr>
  </w:style>
  <w:style w:type="paragraph" w:styleId="828">
    <w:name w:val="Title"/>
    <w:basedOn w:val="784"/>
    <w:next w:val="784"/>
    <w:link w:val="885"/>
    <w:uiPriority w:val="10"/>
    <w:qFormat/>
    <w:pPr>
      <w:contextualSpacing/>
      <w:spacing w:before="300" w:after="200"/>
    </w:pPr>
    <w:rPr>
      <w:sz w:val="48"/>
      <w:szCs w:val="48"/>
    </w:rPr>
  </w:style>
  <w:style w:type="paragraph" w:styleId="829">
    <w:name w:val="Body Text First Indent"/>
    <w:basedOn w:val="801"/>
    <w:uiPriority w:val="99"/>
    <w:qFormat/>
    <w:pPr>
      <w:ind w:firstLine="420"/>
    </w:pPr>
  </w:style>
  <w:style w:type="paragraph" w:styleId="830">
    <w:name w:val="Body Text First Indent 2"/>
    <w:basedOn w:val="805"/>
    <w:link w:val="1038"/>
    <w:uiPriority w:val="0"/>
    <w:qFormat/>
    <w:pPr>
      <w:ind w:firstLine="420"/>
    </w:pPr>
  </w:style>
  <w:style w:type="table" w:styleId="831">
    <w:name w:val="Table Grid"/>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basedOn w:val="794"/>
    <w:uiPriority w:val="22"/>
    <w:qFormat/>
    <w:rPr>
      <w:b/>
      <w:bCs/>
    </w:rPr>
  </w:style>
  <w:style w:type="character" w:styleId="833">
    <w:name w:val="endnote reference"/>
    <w:basedOn w:val="794"/>
    <w:uiPriority w:val="99"/>
    <w:semiHidden/>
    <w:unhideWhenUsed/>
    <w:qFormat/>
    <w:rPr>
      <w:vertAlign w:val="superscript"/>
    </w:rPr>
  </w:style>
  <w:style w:type="character" w:styleId="834">
    <w:name w:val="FollowedHyperlink"/>
    <w:basedOn w:val="794"/>
    <w:uiPriority w:val="99"/>
    <w:semiHidden/>
    <w:unhideWhenUsed/>
    <w:qFormat/>
    <w:rPr>
      <w:color w:val="333333"/>
      <w:u w:val="none"/>
    </w:rPr>
  </w:style>
  <w:style w:type="character" w:styleId="835">
    <w:name w:val="Hyperlink"/>
    <w:basedOn w:val="794"/>
    <w:uiPriority w:val="99"/>
    <w:unhideWhenUsed/>
    <w:qFormat/>
    <w:rPr>
      <w:color w:val="0563c1" w:themeColor="hyperlink"/>
      <w:u w:val="single"/>
      <w14:textFill>
        <w14:solidFill>
          <w14:schemeClr w14:val="hlink"/>
        </w14:solidFill>
      </w14:textFill>
    </w:rPr>
  </w:style>
  <w:style w:type="character" w:styleId="836">
    <w:name w:val="HTML Code"/>
    <w:basedOn w:val="794"/>
    <w:uiPriority w:val="99"/>
    <w:semiHidden/>
    <w:unhideWhenUsed/>
    <w:qFormat/>
    <w:rPr>
      <w:rFonts w:ascii="Monaco" w:hAnsi="Monaco" w:eastAsia="Monaco" w:cs="Monaco"/>
      <w:color w:val="e83e8c"/>
      <w:sz w:val="21"/>
      <w:szCs w:val="21"/>
    </w:rPr>
  </w:style>
  <w:style w:type="character" w:styleId="837">
    <w:name w:val="annotation reference"/>
    <w:basedOn w:val="794"/>
    <w:uiPriority w:val="0"/>
    <w:qFormat/>
    <w:rPr>
      <w:sz w:val="21"/>
      <w:szCs w:val="21"/>
    </w:rPr>
  </w:style>
  <w:style w:type="character" w:styleId="838">
    <w:name w:val="footnote reference"/>
    <w:basedOn w:val="794"/>
    <w:uiPriority w:val="99"/>
    <w:unhideWhenUsed/>
    <w:qFormat/>
    <w:rPr>
      <w:vertAlign w:val="superscript"/>
    </w:rPr>
  </w:style>
  <w:style w:type="character" w:styleId="839">
    <w:name w:val="HTML Keyboard"/>
    <w:basedOn w:val="794"/>
    <w:uiPriority w:val="99"/>
    <w:semiHidden/>
    <w:unhideWhenUsed/>
    <w:qFormat/>
    <w:rPr>
      <w:rFonts w:hint="default" w:ascii="Monaco" w:hAnsi="Monaco" w:eastAsia="Monaco" w:cs="Monaco"/>
      <w:color w:val="ffffff"/>
      <w:sz w:val="21"/>
      <w:szCs w:val="21"/>
      <w:shd w:val="clear" w:color="auto" w:fill="212529"/>
    </w:rPr>
  </w:style>
  <w:style w:type="character" w:styleId="840">
    <w:name w:val="HTML Sample"/>
    <w:basedOn w:val="794"/>
    <w:uiPriority w:val="99"/>
    <w:semiHidden/>
    <w:unhideWhenUsed/>
    <w:qFormat/>
    <w:rPr>
      <w:rFonts w:hint="default" w:ascii="Monaco" w:hAnsi="Monaco" w:eastAsia="Monaco" w:cs="Monaco"/>
      <w:sz w:val="21"/>
      <w:szCs w:val="21"/>
    </w:rPr>
  </w:style>
  <w:style w:type="table" w:styleId="841"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Heading"/>
    <w:uiPriority w:val="39"/>
    <w:unhideWhenUsed/>
    <w:qFormat/>
    <w:rPr>
      <w:rFonts w:hint="default" w:ascii="Times New Roman" w:hAnsi="Times New Roman" w:eastAsia="宋体" w:cs="Times New Roman"/>
    </w:rPr>
  </w:style>
  <w:style w:type="character" w:styleId="861" w:customStyle="1">
    <w:name w:val="Title Char"/>
    <w:basedOn w:val="794"/>
    <w:uiPriority w:val="10"/>
    <w:qFormat/>
    <w:rPr>
      <w:sz w:val="48"/>
      <w:szCs w:val="48"/>
    </w:rPr>
  </w:style>
  <w:style w:type="character" w:styleId="862" w:customStyle="1">
    <w:name w:val="Subtitle Char"/>
    <w:basedOn w:val="794"/>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character" w:styleId="867" w:customStyle="1">
    <w:name w:val="Heading 1 Char"/>
    <w:basedOn w:val="794"/>
    <w:uiPriority w:val="9"/>
    <w:qFormat/>
    <w:rPr>
      <w:rFonts w:ascii="Arial" w:hAnsi="Arial" w:eastAsia="Arial" w:cs="Arial"/>
      <w:sz w:val="40"/>
      <w:szCs w:val="40"/>
    </w:rPr>
  </w:style>
  <w:style w:type="character" w:styleId="868" w:customStyle="1">
    <w:name w:val="Heading 2 Char"/>
    <w:basedOn w:val="794"/>
    <w:link w:val="869"/>
    <w:uiPriority w:val="9"/>
    <w:qFormat/>
    <w:rPr>
      <w:rFonts w:ascii="Arial" w:hAnsi="Arial" w:eastAsia="Arial" w:cs="Arial"/>
      <w:sz w:val="34"/>
    </w:rPr>
  </w:style>
  <w:style w:type="paragraph" w:styleId="869" w:customStyle="1">
    <w:name w:val="标题 21"/>
    <w:basedOn w:val="784"/>
    <w:next w:val="784"/>
    <w:link w:val="86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70" w:customStyle="1">
    <w:name w:val="标题 31"/>
    <w:basedOn w:val="784"/>
    <w:next w:val="784"/>
    <w:link w:val="871"/>
    <w:uiPriority w:val="9"/>
    <w:unhideWhenUsed/>
    <w:qFormat/>
    <w:pPr>
      <w:keepLines/>
      <w:keepNext/>
      <w:spacing w:before="320" w:after="200"/>
      <w:outlineLvl w:val="2"/>
    </w:pPr>
    <w:rPr>
      <w:rFonts w:ascii="Arial" w:hAnsi="Arial" w:eastAsia="Arial" w:cs="Arial"/>
      <w:sz w:val="30"/>
      <w:szCs w:val="30"/>
    </w:rPr>
  </w:style>
  <w:style w:type="character" w:styleId="871" w:customStyle="1">
    <w:name w:val="Heading 3 Char"/>
    <w:basedOn w:val="794"/>
    <w:link w:val="870"/>
    <w:uiPriority w:val="9"/>
    <w:qFormat/>
    <w:rPr>
      <w:rFonts w:ascii="Arial" w:hAnsi="Arial" w:eastAsia="Arial" w:cs="Arial"/>
      <w:sz w:val="30"/>
      <w:szCs w:val="30"/>
    </w:rPr>
  </w:style>
  <w:style w:type="paragraph" w:styleId="872" w:customStyle="1">
    <w:name w:val="标题 41"/>
    <w:basedOn w:val="784"/>
    <w:next w:val="784"/>
    <w:link w:val="873"/>
    <w:uiPriority w:val="9"/>
    <w:unhideWhenUsed/>
    <w:qFormat/>
    <w:pPr>
      <w:keepLines/>
      <w:keepNext/>
      <w:spacing w:before="320" w:after="200"/>
      <w:outlineLvl w:val="3"/>
    </w:pPr>
    <w:rPr>
      <w:rFonts w:ascii="Arial" w:hAnsi="Arial" w:eastAsia="Arial" w:cs="Arial"/>
      <w:b/>
      <w:bCs/>
      <w:sz w:val="26"/>
      <w:szCs w:val="26"/>
    </w:rPr>
  </w:style>
  <w:style w:type="character" w:styleId="873" w:customStyle="1">
    <w:name w:val="Heading 4 Char"/>
    <w:basedOn w:val="794"/>
    <w:link w:val="872"/>
    <w:uiPriority w:val="9"/>
    <w:qFormat/>
    <w:rPr>
      <w:rFonts w:ascii="Arial" w:hAnsi="Arial" w:eastAsia="Arial" w:cs="Arial"/>
      <w:b/>
      <w:bCs/>
      <w:sz w:val="26"/>
      <w:szCs w:val="26"/>
    </w:rPr>
  </w:style>
  <w:style w:type="paragraph" w:styleId="874" w:customStyle="1">
    <w:name w:val="标题 51"/>
    <w:basedOn w:val="784"/>
    <w:next w:val="784"/>
    <w:link w:val="875"/>
    <w:uiPriority w:val="9"/>
    <w:unhideWhenUsed/>
    <w:qFormat/>
    <w:pPr>
      <w:keepLines/>
      <w:keepNext/>
      <w:spacing w:before="320" w:after="200"/>
      <w:outlineLvl w:val="4"/>
    </w:pPr>
    <w:rPr>
      <w:rFonts w:ascii="Arial" w:hAnsi="Arial" w:eastAsia="Arial" w:cs="Arial"/>
      <w:b/>
      <w:bCs/>
      <w:sz w:val="24"/>
    </w:rPr>
  </w:style>
  <w:style w:type="character" w:styleId="875" w:customStyle="1">
    <w:name w:val="Heading 5 Char"/>
    <w:basedOn w:val="794"/>
    <w:link w:val="874"/>
    <w:uiPriority w:val="9"/>
    <w:qFormat/>
    <w:rPr>
      <w:rFonts w:ascii="Arial" w:hAnsi="Arial" w:eastAsia="Arial" w:cs="Arial"/>
      <w:b/>
      <w:bCs/>
      <w:sz w:val="24"/>
      <w:szCs w:val="24"/>
    </w:rPr>
  </w:style>
  <w:style w:type="paragraph" w:styleId="876" w:customStyle="1">
    <w:name w:val="标题 61"/>
    <w:basedOn w:val="784"/>
    <w:next w:val="784"/>
    <w:link w:val="877"/>
    <w:uiPriority w:val="9"/>
    <w:unhideWhenUsed/>
    <w:qFormat/>
    <w:pPr>
      <w:keepLines/>
      <w:keepNext/>
      <w:spacing w:before="320" w:after="200"/>
      <w:outlineLvl w:val="5"/>
    </w:pPr>
    <w:rPr>
      <w:rFonts w:ascii="Arial" w:hAnsi="Arial" w:eastAsia="Arial" w:cs="Arial"/>
      <w:b/>
      <w:bCs/>
      <w:sz w:val="22"/>
      <w:szCs w:val="22"/>
    </w:rPr>
  </w:style>
  <w:style w:type="character" w:styleId="877" w:customStyle="1">
    <w:name w:val="Heading 6 Char"/>
    <w:basedOn w:val="794"/>
    <w:link w:val="876"/>
    <w:uiPriority w:val="9"/>
    <w:qFormat/>
    <w:rPr>
      <w:rFonts w:ascii="Arial" w:hAnsi="Arial" w:eastAsia="Arial" w:cs="Arial"/>
      <w:b/>
      <w:bCs/>
      <w:sz w:val="22"/>
      <w:szCs w:val="22"/>
    </w:rPr>
  </w:style>
  <w:style w:type="paragraph" w:styleId="878" w:customStyle="1">
    <w:name w:val="标题 71"/>
    <w:basedOn w:val="784"/>
    <w:next w:val="784"/>
    <w:link w:val="879"/>
    <w:uiPriority w:val="9"/>
    <w:unhideWhenUsed/>
    <w:qFormat/>
    <w:pPr>
      <w:keepLines/>
      <w:keepNext/>
      <w:spacing w:before="320" w:after="200"/>
      <w:outlineLvl w:val="6"/>
    </w:pPr>
    <w:rPr>
      <w:rFonts w:ascii="Arial" w:hAnsi="Arial" w:eastAsia="Arial" w:cs="Arial"/>
      <w:b/>
      <w:bCs/>
      <w:i/>
      <w:iCs/>
      <w:sz w:val="22"/>
      <w:szCs w:val="22"/>
    </w:rPr>
  </w:style>
  <w:style w:type="character" w:styleId="879" w:customStyle="1">
    <w:name w:val="Heading 7 Char"/>
    <w:basedOn w:val="794"/>
    <w:link w:val="878"/>
    <w:uiPriority w:val="9"/>
    <w:qFormat/>
    <w:rPr>
      <w:rFonts w:ascii="Arial" w:hAnsi="Arial" w:eastAsia="Arial" w:cs="Arial"/>
      <w:b/>
      <w:bCs/>
      <w:i/>
      <w:iCs/>
      <w:sz w:val="22"/>
      <w:szCs w:val="22"/>
    </w:rPr>
  </w:style>
  <w:style w:type="paragraph" w:styleId="880" w:customStyle="1">
    <w:name w:val="标题 81"/>
    <w:basedOn w:val="784"/>
    <w:next w:val="784"/>
    <w:link w:val="881"/>
    <w:uiPriority w:val="9"/>
    <w:unhideWhenUsed/>
    <w:qFormat/>
    <w:pPr>
      <w:keepLines/>
      <w:keepNext/>
      <w:spacing w:before="320" w:after="200"/>
      <w:outlineLvl w:val="7"/>
    </w:pPr>
    <w:rPr>
      <w:rFonts w:ascii="Arial" w:hAnsi="Arial" w:eastAsia="Arial" w:cs="Arial"/>
      <w:i/>
      <w:iCs/>
      <w:sz w:val="22"/>
      <w:szCs w:val="22"/>
    </w:rPr>
  </w:style>
  <w:style w:type="character" w:styleId="881" w:customStyle="1">
    <w:name w:val="Heading 8 Char"/>
    <w:basedOn w:val="794"/>
    <w:link w:val="880"/>
    <w:uiPriority w:val="9"/>
    <w:qFormat/>
    <w:rPr>
      <w:rFonts w:ascii="Arial" w:hAnsi="Arial" w:eastAsia="Arial" w:cs="Arial"/>
      <w:i/>
      <w:iCs/>
      <w:sz w:val="22"/>
      <w:szCs w:val="22"/>
    </w:rPr>
  </w:style>
  <w:style w:type="paragraph" w:styleId="882" w:customStyle="1">
    <w:name w:val="标题 91"/>
    <w:basedOn w:val="784"/>
    <w:next w:val="784"/>
    <w:link w:val="883"/>
    <w:uiPriority w:val="9"/>
    <w:unhideWhenUsed/>
    <w:qFormat/>
    <w:pPr>
      <w:keepLines/>
      <w:keepNext/>
      <w:spacing w:before="320" w:after="200"/>
      <w:outlineLvl w:val="8"/>
    </w:pPr>
    <w:rPr>
      <w:rFonts w:ascii="Arial" w:hAnsi="Arial" w:eastAsia="Arial" w:cs="Arial"/>
      <w:i/>
      <w:iCs/>
      <w:szCs w:val="21"/>
    </w:rPr>
  </w:style>
  <w:style w:type="character" w:styleId="883" w:customStyle="1">
    <w:name w:val="Heading 9 Char"/>
    <w:basedOn w:val="794"/>
    <w:link w:val="882"/>
    <w:uiPriority w:val="9"/>
    <w:qFormat/>
    <w:rPr>
      <w:rFonts w:ascii="Arial" w:hAnsi="Arial" w:eastAsia="Arial" w:cs="Arial"/>
      <w:i/>
      <w:iCs/>
      <w:sz w:val="21"/>
      <w:szCs w:val="21"/>
    </w:rPr>
  </w:style>
  <w:style w:type="paragraph" w:styleId="884">
    <w:name w:val="No Spacing"/>
    <w:uiPriority w:val="1"/>
    <w:qFormat/>
    <w:rPr>
      <w:rFonts w:hint="default" w:ascii="Times New Roman" w:hAnsi="Times New Roman" w:eastAsia="宋体" w:cs="Times New Roman"/>
      <w:lang w:val="en-US" w:eastAsia="zh-CN" w:bidi="ar-SA"/>
    </w:rPr>
  </w:style>
  <w:style w:type="character" w:styleId="885" w:customStyle="1">
    <w:name w:val="标题 字符"/>
    <w:basedOn w:val="794"/>
    <w:link w:val="828"/>
    <w:uiPriority w:val="10"/>
    <w:qFormat/>
    <w:rPr>
      <w:sz w:val="48"/>
      <w:szCs w:val="48"/>
    </w:rPr>
  </w:style>
  <w:style w:type="character" w:styleId="886" w:customStyle="1">
    <w:name w:val="副标题 字符"/>
    <w:basedOn w:val="794"/>
    <w:link w:val="819"/>
    <w:uiPriority w:val="11"/>
    <w:qFormat/>
    <w:rPr>
      <w:sz w:val="24"/>
      <w:szCs w:val="24"/>
    </w:rPr>
  </w:style>
  <w:style w:type="paragraph" w:styleId="887">
    <w:name w:val="Quote"/>
    <w:basedOn w:val="784"/>
    <w:next w:val="784"/>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784"/>
    <w:next w:val="784"/>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Header Char"/>
    <w:basedOn w:val="794"/>
    <w:uiPriority w:val="99"/>
    <w:qFormat/>
  </w:style>
  <w:style w:type="character" w:styleId="892" w:customStyle="1">
    <w:name w:val="Footer Char"/>
    <w:basedOn w:val="794"/>
    <w:uiPriority w:val="99"/>
    <w:qFormat/>
  </w:style>
  <w:style w:type="paragraph" w:styleId="893" w:customStyle="1">
    <w:name w:val="题注1"/>
    <w:basedOn w:val="784"/>
    <w:next w:val="784"/>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94" w:customStyle="1">
    <w:name w:val="Caption Char"/>
    <w:uiPriority w:val="99"/>
    <w:qFormat/>
  </w:style>
  <w:style w:type="table" w:styleId="895"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6"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79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79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79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79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4" w:customStyle="1">
    <w:name w:val="Grid Table 4 - Accent 2"/>
    <w:basedOn w:val="79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5" w:customStyle="1">
    <w:name w:val="Grid Table 4 - Accent 3"/>
    <w:basedOn w:val="79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6" w:customStyle="1">
    <w:name w:val="Grid Table 4 - Accent 4"/>
    <w:basedOn w:val="79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7" w:customStyle="1">
    <w:name w:val="Grid Table 4 - Accent 5"/>
    <w:basedOn w:val="79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8" w:customStyle="1">
    <w:name w:val="Grid Table 4 - Accent 6"/>
    <w:basedOn w:val="79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9"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1"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2"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3"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4"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5"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6"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basedOn w:val="79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79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0" w:customStyle="1">
    <w:name w:val="Grid Table 6 Colorful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79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2" w:customStyle="1">
    <w:name w:val="Grid Table 6 Colorful - Accent 6"/>
    <w:basedOn w:val="79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3"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79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79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79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79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79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79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79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79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79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79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79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79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basedOn w:val="79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9" w:customStyle="1">
    <w:name w:val="List Table 2 - Accent 2"/>
    <w:basedOn w:val="79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0" w:customStyle="1">
    <w:name w:val="List Table 2 - Accent 3"/>
    <w:basedOn w:val="79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1" w:customStyle="1">
    <w:name w:val="List Table 2 - Accent 4"/>
    <w:basedOn w:val="79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2" w:customStyle="1">
    <w:name w:val="List Table 2 - Accent 5"/>
    <w:basedOn w:val="79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3" w:customStyle="1">
    <w:name w:val="List Table 2 - Accent 6"/>
    <w:basedOn w:val="79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4"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79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3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79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79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79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1"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79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3" w:customStyle="1">
    <w:name w:val="List Table 4 - Accent 2"/>
    <w:basedOn w:val="79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4" w:customStyle="1">
    <w:name w:val="List Table 4 - Accent 3"/>
    <w:basedOn w:val="79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5" w:customStyle="1">
    <w:name w:val="List Table 4 - Accent 4"/>
    <w:basedOn w:val="79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6" w:customStyle="1">
    <w:name w:val="List Table 4 - Accent 5"/>
    <w:basedOn w:val="79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7" w:customStyle="1">
    <w:name w:val="List Table 4 - Accent 6"/>
    <w:basedOn w:val="79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8"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basedOn w:val="79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basedOn w:val="79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basedOn w:val="79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basedOn w:val="79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basedOn w:val="79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basedOn w:val="79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basedOn w:val="79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7" w:customStyle="1">
    <w:name w:val="List Table 6 Colorful - Accent 2"/>
    <w:basedOn w:val="79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8" w:customStyle="1">
    <w:name w:val="List Table 6 Colorful - Accent 3"/>
    <w:basedOn w:val="79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9" w:customStyle="1">
    <w:name w:val="List Table 6 Colorful - Accent 4"/>
    <w:basedOn w:val="79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0" w:customStyle="1">
    <w:name w:val="List Table 6 Colorful - Accent 5"/>
    <w:basedOn w:val="79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1" w:customStyle="1">
    <w:name w:val="List Table 6 Colorful - Accent 6"/>
    <w:basedOn w:val="79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2"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79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79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79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79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79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79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basedOn w:val="79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8" w:customStyle="1">
    <w:name w:val="Bordered &amp; Lined - Accent 2"/>
    <w:basedOn w:val="79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9" w:customStyle="1">
    <w:name w:val="Bordered &amp; Lined - Accent 3"/>
    <w:basedOn w:val="79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0" w:customStyle="1">
    <w:name w:val="Bordered &amp; Lined - Accent 4"/>
    <w:basedOn w:val="79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1" w:customStyle="1">
    <w:name w:val="Bordered &amp; Lined - Accent 5"/>
    <w:basedOn w:val="79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2" w:customStyle="1">
    <w:name w:val="Bordered &amp; Lined - Accent 6"/>
    <w:basedOn w:val="79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3"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5" w:customStyle="1">
    <w:name w:val="Bordered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6" w:customStyle="1">
    <w:name w:val="Bordered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7" w:customStyle="1">
    <w:name w:val="Bordered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8" w:customStyle="1">
    <w:name w:val="Bordered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9" w:customStyle="1">
    <w:name w:val="Bordered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0" w:customStyle="1">
    <w:name w:val="脚注文本 字符"/>
    <w:link w:val="820"/>
    <w:uiPriority w:val="99"/>
    <w:qFormat/>
    <w:rPr>
      <w:sz w:val="18"/>
    </w:rPr>
  </w:style>
  <w:style w:type="character" w:styleId="1021" w:customStyle="1">
    <w:name w:val="尾注文本 字符"/>
    <w:link w:val="813"/>
    <w:uiPriority w:val="99"/>
    <w:qFormat/>
    <w:rPr>
      <w:sz w:val="20"/>
    </w:rPr>
  </w:style>
  <w:style w:type="paragraph" w:styleId="1022" w:customStyle="1">
    <w:name w:val="TOC 标题1"/>
    <w:uiPriority w:val="39"/>
    <w:unhideWhenUsed/>
    <w:qFormat/>
    <w:rPr>
      <w:rFonts w:hint="default" w:ascii="Times New Roman" w:hAnsi="Times New Roman" w:eastAsia="宋体" w:cs="Times New Roman"/>
      <w:lang w:val="en-US" w:eastAsia="zh-CN" w:bidi="ar-SA"/>
    </w:rPr>
  </w:style>
  <w:style w:type="paragraph" w:styleId="1023" w:customStyle="1">
    <w:name w:val="标题 11"/>
    <w:basedOn w:val="784"/>
    <w:next w:val="784"/>
    <w:link w:val="1036"/>
    <w:uiPriority w:val="0"/>
    <w:qFormat/>
    <w:pPr>
      <w:keepLines/>
      <w:keepNext/>
      <w:spacing w:before="340" w:after="330" w:line="578" w:lineRule="auto"/>
      <w:outlineLvl w:val="0"/>
    </w:pPr>
    <w:rPr>
      <w:b/>
      <w:bCs/>
      <w:sz w:val="44"/>
      <w:szCs w:val="44"/>
    </w:rPr>
  </w:style>
  <w:style w:type="paragraph" w:styleId="1024" w:customStyle="1">
    <w:name w:val="页脚1"/>
    <w:basedOn w:val="784"/>
    <w:link w:val="1027"/>
    <w:uiPriority w:val="0"/>
    <w:qFormat/>
    <w:pPr>
      <w:jc w:val="left"/>
      <w:tabs>
        <w:tab w:val="center" w:pos="4153" w:leader="none"/>
        <w:tab w:val="right" w:pos="8306" w:leader="none"/>
      </w:tabs>
    </w:pPr>
    <w:rPr>
      <w:sz w:val="18"/>
      <w:szCs w:val="18"/>
    </w:rPr>
  </w:style>
  <w:style w:type="paragraph" w:styleId="1025" w:customStyle="1">
    <w:name w:val="页眉1"/>
    <w:basedOn w:val="784"/>
    <w:link w:val="1026"/>
    <w:uiPriority w:val="0"/>
    <w:qFormat/>
    <w:pPr>
      <w:jc w:val="center"/>
      <w:tabs>
        <w:tab w:val="center" w:pos="4153" w:leader="none"/>
        <w:tab w:val="right" w:pos="8306" w:leader="none"/>
      </w:tabs>
      <w:pBdr>
        <w:bottom w:val="single" w:color="auto" w:sz="6" w:space="1"/>
      </w:pBdr>
    </w:pPr>
    <w:rPr>
      <w:sz w:val="18"/>
      <w:szCs w:val="18"/>
    </w:rPr>
  </w:style>
  <w:style w:type="character" w:styleId="1026" w:customStyle="1">
    <w:name w:val="页眉 Char"/>
    <w:basedOn w:val="794"/>
    <w:link w:val="1025"/>
    <w:uiPriority w:val="0"/>
    <w:qFormat/>
    <w:rPr>
      <w:rFonts w:asciiTheme="minorHAnsi" w:hAnsiTheme="minorHAnsi" w:eastAsiaTheme="minorEastAsia" w:cstheme="minorBidi"/>
      <w:sz w:val="18"/>
      <w:szCs w:val="18"/>
    </w:rPr>
  </w:style>
  <w:style w:type="character" w:styleId="1027" w:customStyle="1">
    <w:name w:val="页脚 Char"/>
    <w:basedOn w:val="794"/>
    <w:link w:val="1024"/>
    <w:uiPriority w:val="0"/>
    <w:qFormat/>
    <w:rPr>
      <w:rFonts w:asciiTheme="minorHAnsi" w:hAnsiTheme="minorHAnsi" w:eastAsiaTheme="minorEastAsia" w:cstheme="minorBidi"/>
      <w:sz w:val="18"/>
      <w:szCs w:val="18"/>
    </w:rPr>
  </w:style>
  <w:style w:type="paragraph" w:styleId="1028" w:customStyle="1">
    <w:name w:val="普通正文"/>
    <w:basedOn w:val="784"/>
    <w:link w:val="1043"/>
    <w:uiPriority w:val="0"/>
    <w:qFormat/>
    <w:pPr>
      <w:ind w:firstLine="480"/>
      <w:jc w:val="left"/>
      <w:spacing w:before="120" w:after="120" w:line="360" w:lineRule="auto"/>
    </w:pPr>
    <w:rPr>
      <w:rFonts w:ascii="Arial" w:hAnsi="Arial" w:eastAsia="等线" w:cs="Arial"/>
      <w:sz w:val="24"/>
    </w:rPr>
  </w:style>
  <w:style w:type="character" w:styleId="1029" w:customStyle="1">
    <w:name w:val="正文缩进 字符"/>
    <w:link w:val="797"/>
    <w:uiPriority w:val="0"/>
    <w:qFormat/>
    <w:rPr>
      <w:rFonts w:eastAsia="楷体_GB2312"/>
      <w:sz w:val="24"/>
    </w:rPr>
  </w:style>
  <w:style w:type="character" w:styleId="1030" w:customStyle="1">
    <w:name w:val="正文文本 字符"/>
    <w:basedOn w:val="794"/>
    <w:link w:val="801"/>
    <w:uiPriority w:val="0"/>
    <w:qFormat/>
    <w:rPr>
      <w:sz w:val="21"/>
    </w:rPr>
  </w:style>
  <w:style w:type="paragraph" w:styleId="1031" w:customStyle="1">
    <w:name w:val="Default"/>
    <w:basedOn w:val="784"/>
    <w:uiPriority w:val="0"/>
    <w:semiHidden/>
    <w:qFormat/>
    <w:pPr>
      <w:jc w:val="left"/>
    </w:pPr>
    <w:rPr>
      <w:rFonts w:ascii="宋体" w:hAnsi="Calibri" w:cs="宋体"/>
      <w:color w:val="000000"/>
      <w:sz w:val="24"/>
    </w:rPr>
  </w:style>
  <w:style w:type="paragraph" w:styleId="1032">
    <w:name w:val="List Paragraph"/>
    <w:basedOn w:val="784"/>
    <w:uiPriority w:val="34"/>
    <w:qFormat/>
    <w:pPr>
      <w:ind w:firstLine="420"/>
    </w:pPr>
  </w:style>
  <w:style w:type="character" w:styleId="1033" w:customStyle="1">
    <w:name w:val="正文文本缩进 2 字符"/>
    <w:basedOn w:val="794"/>
    <w:link w:val="812"/>
    <w:uiPriority w:val="0"/>
    <w:qFormat/>
    <w:rPr>
      <w:rFonts w:asciiTheme="minorHAnsi" w:hAnsiTheme="minorHAnsi" w:eastAsiaTheme="minorEastAsia" w:cstheme="minorBidi"/>
      <w:sz w:val="21"/>
      <w:szCs w:val="24"/>
    </w:rPr>
  </w:style>
  <w:style w:type="paragraph" w:styleId="1034" w:customStyle="1">
    <w:name w:val="表格正文居中"/>
    <w:basedOn w:val="784"/>
    <w:uiPriority w:val="0"/>
    <w:qFormat/>
    <w:pPr>
      <w:jc w:val="center"/>
      <w:spacing w:line="360" w:lineRule="exact"/>
    </w:pPr>
    <w:rPr>
      <w:rFonts w:cs="Times New Roman"/>
      <w:szCs w:val="21"/>
    </w:rPr>
  </w:style>
  <w:style w:type="character" w:styleId="1035" w:customStyle="1">
    <w:name w:val="正文文本缩进 3 字符"/>
    <w:basedOn w:val="794"/>
    <w:link w:val="822"/>
    <w:uiPriority w:val="0"/>
    <w:qFormat/>
    <w:rPr>
      <w:rFonts w:asciiTheme="minorHAnsi" w:hAnsiTheme="minorHAnsi" w:eastAsiaTheme="minorEastAsia" w:cstheme="minorBidi"/>
      <w:sz w:val="16"/>
      <w:szCs w:val="16"/>
    </w:rPr>
  </w:style>
  <w:style w:type="character" w:styleId="1036" w:customStyle="1">
    <w:name w:val="标题 1 Char"/>
    <w:basedOn w:val="794"/>
    <w:link w:val="1023"/>
    <w:uiPriority w:val="0"/>
    <w:qFormat/>
    <w:rPr>
      <w:rFonts w:asciiTheme="minorHAnsi" w:hAnsiTheme="minorHAnsi" w:eastAsiaTheme="minorEastAsia" w:cstheme="minorBidi"/>
      <w:b/>
      <w:bCs/>
      <w:sz w:val="44"/>
      <w:szCs w:val="44"/>
    </w:rPr>
  </w:style>
  <w:style w:type="character" w:styleId="1037" w:customStyle="1">
    <w:name w:val="正文文本缩进 字符"/>
    <w:basedOn w:val="794"/>
    <w:link w:val="805"/>
    <w:uiPriority w:val="0"/>
    <w:qFormat/>
    <w:rPr>
      <w:rFonts w:asciiTheme="minorHAnsi" w:hAnsiTheme="minorHAnsi" w:eastAsiaTheme="minorEastAsia" w:cstheme="minorBidi"/>
      <w:sz w:val="21"/>
      <w:szCs w:val="24"/>
    </w:rPr>
  </w:style>
  <w:style w:type="character" w:styleId="1038" w:customStyle="1">
    <w:name w:val="正文文本首行缩进 2 字符"/>
    <w:basedOn w:val="1037"/>
    <w:link w:val="830"/>
    <w:uiPriority w:val="0"/>
    <w:qFormat/>
    <w:rPr>
      <w:rFonts w:asciiTheme="minorHAnsi" w:hAnsiTheme="minorHAnsi" w:eastAsiaTheme="minorEastAsia" w:cstheme="minorBidi"/>
      <w:sz w:val="21"/>
      <w:szCs w:val="24"/>
    </w:rPr>
  </w:style>
  <w:style w:type="paragraph" w:styleId="1039" w:customStyle="1">
    <w:name w:val="表格正文"/>
    <w:basedOn w:val="784"/>
    <w:next w:val="784"/>
    <w:uiPriority w:val="0"/>
    <w:qFormat/>
    <w:pPr>
      <w:jc w:val="left"/>
      <w:spacing w:line="440" w:lineRule="exact"/>
    </w:pPr>
    <w:rPr>
      <w:rFonts w:cs="Times New Roman"/>
      <w:szCs w:val="21"/>
    </w:rPr>
  </w:style>
  <w:style w:type="paragraph" w:styleId="1040" w:customStyle="1">
    <w:name w:val="普通(网站)1"/>
    <w:basedOn w:val="784"/>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41" w:customStyle="1">
    <w:name w:val="普通(网站)11"/>
    <w:basedOn w:val="784"/>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042" w:customStyle="1">
    <w:name w:val="日期 字符"/>
    <w:basedOn w:val="794"/>
    <w:link w:val="811"/>
    <w:uiPriority w:val="0"/>
    <w:qFormat/>
    <w:rPr>
      <w:rFonts w:asciiTheme="minorHAnsi" w:hAnsiTheme="minorHAnsi" w:eastAsiaTheme="minorEastAsia" w:cstheme="minorBidi"/>
      <w:sz w:val="21"/>
      <w:szCs w:val="24"/>
    </w:rPr>
  </w:style>
  <w:style w:type="character" w:styleId="1043" w:customStyle="1">
    <w:name w:val="普通正文 Char"/>
    <w:link w:val="1028"/>
    <w:uiPriority w:val="0"/>
    <w:qFormat/>
    <w:rPr>
      <w:rFonts w:ascii="Arial" w:hAnsi="Arial" w:eastAsia="等线" w:cs="Arial"/>
      <w:sz w:val="24"/>
      <w:szCs w:val="24"/>
    </w:rPr>
  </w:style>
  <w:style w:type="character" w:styleId="1044" w:customStyle="1">
    <w:name w:val="批注框文本 字符"/>
    <w:basedOn w:val="794"/>
    <w:link w:val="814"/>
    <w:uiPriority w:val="0"/>
    <w:qFormat/>
    <w:rPr>
      <w:rFonts w:asciiTheme="minorHAnsi" w:hAnsiTheme="minorHAnsi" w:eastAsiaTheme="minorEastAsia" w:cstheme="minorBidi"/>
      <w:sz w:val="18"/>
      <w:szCs w:val="18"/>
    </w:rPr>
  </w:style>
  <w:style w:type="paragraph" w:styleId="1045" w:customStyle="1">
    <w:name w:val="Header1"/>
    <w:basedOn w:val="784"/>
    <w:link w:val="104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6" w:customStyle="1">
    <w:name w:val="页眉 Char1"/>
    <w:basedOn w:val="794"/>
    <w:link w:val="1045"/>
    <w:uiPriority w:val="99"/>
    <w:semiHidden/>
    <w:qFormat/>
    <w:rPr>
      <w:rFonts w:asciiTheme="minorHAnsi" w:hAnsiTheme="minorHAnsi" w:eastAsiaTheme="minorEastAsia" w:cstheme="minorBidi"/>
      <w:sz w:val="18"/>
      <w:szCs w:val="18"/>
    </w:rPr>
  </w:style>
  <w:style w:type="paragraph" w:styleId="1047" w:customStyle="1">
    <w:name w:val="Footer1"/>
    <w:basedOn w:val="784"/>
    <w:link w:val="1048"/>
    <w:uiPriority w:val="99"/>
    <w:semiHidden/>
    <w:unhideWhenUsed/>
    <w:qFormat/>
    <w:pPr>
      <w:jc w:val="left"/>
      <w:tabs>
        <w:tab w:val="center" w:pos="4153" w:leader="none"/>
        <w:tab w:val="right" w:pos="8306" w:leader="none"/>
      </w:tabs>
    </w:pPr>
    <w:rPr>
      <w:sz w:val="18"/>
      <w:szCs w:val="18"/>
    </w:rPr>
  </w:style>
  <w:style w:type="character" w:styleId="1048" w:customStyle="1">
    <w:name w:val="页脚 Char1"/>
    <w:basedOn w:val="794"/>
    <w:link w:val="1047"/>
    <w:uiPriority w:val="99"/>
    <w:semiHidden/>
    <w:qFormat/>
    <w:rPr>
      <w:rFonts w:asciiTheme="minorHAnsi" w:hAnsiTheme="minorHAnsi" w:eastAsiaTheme="minorEastAsia" w:cstheme="minorBidi"/>
      <w:sz w:val="18"/>
      <w:szCs w:val="18"/>
    </w:rPr>
  </w:style>
  <w:style w:type="paragraph" w:styleId="1049" w:customStyle="1">
    <w:name w:val="正文文本1"/>
    <w:basedOn w:val="784"/>
    <w:next w:val="784"/>
    <w:uiPriority w:val="0"/>
    <w:unhideWhenUsed/>
    <w:qFormat/>
    <w:pPr>
      <w:spacing w:after="120"/>
    </w:pPr>
    <w:rPr>
      <w:rFonts w:ascii="Calibri" w:hAnsi="Calibri"/>
      <w:szCs w:val="22"/>
    </w:rPr>
  </w:style>
  <w:style w:type="character" w:styleId="1050" w:customStyle="1">
    <w:name w:val="font31"/>
    <w:basedOn w:val="794"/>
    <w:uiPriority w:val="0"/>
    <w:qFormat/>
    <w:rPr>
      <w:rFonts w:hint="eastAsia" w:ascii="宋体" w:hAnsi="宋体" w:eastAsia="宋体" w:cs="宋体"/>
      <w:color w:val="000000"/>
      <w:sz w:val="20"/>
      <w:szCs w:val="20"/>
      <w:u w:val="none"/>
    </w:rPr>
  </w:style>
  <w:style w:type="character" w:styleId="1051" w:customStyle="1">
    <w:name w:val="font41"/>
    <w:basedOn w:val="794"/>
    <w:uiPriority w:val="0"/>
    <w:qFormat/>
    <w:rPr>
      <w:rFonts w:hint="eastAsia" w:ascii="宋体" w:hAnsi="宋体" w:eastAsia="宋体" w:cs="宋体"/>
      <w:b/>
      <w:bCs/>
      <w:color w:val="ff0000"/>
      <w:sz w:val="20"/>
      <w:szCs w:val="20"/>
      <w:u w:val="none"/>
    </w:rPr>
  </w:style>
  <w:style w:type="character" w:styleId="1052" w:customStyle="1">
    <w:name w:val="页眉 字符"/>
    <w:basedOn w:val="794"/>
    <w:link w:val="816"/>
    <w:uiPriority w:val="99"/>
    <w:qFormat/>
    <w:rPr>
      <w:rFonts w:asciiTheme="minorHAnsi" w:hAnsiTheme="minorHAnsi" w:eastAsiaTheme="minorEastAsia" w:cstheme="minorBidi"/>
      <w:sz w:val="18"/>
      <w:szCs w:val="18"/>
    </w:rPr>
  </w:style>
  <w:style w:type="character" w:styleId="1053" w:customStyle="1">
    <w:name w:val="页脚 字符"/>
    <w:basedOn w:val="794"/>
    <w:link w:val="815"/>
    <w:uiPriority w:val="99"/>
    <w:qFormat/>
    <w:rPr>
      <w:rFonts w:asciiTheme="minorHAnsi" w:hAnsiTheme="minorHAnsi" w:eastAsiaTheme="minorEastAsia" w:cstheme="minorBidi"/>
      <w:sz w:val="18"/>
      <w:szCs w:val="18"/>
    </w:rPr>
  </w:style>
  <w:style w:type="paragraph" w:styleId="1054" w:customStyle="1">
    <w:name w:val="Table Paragraph"/>
    <w:basedOn w:val="784"/>
    <w:uiPriority w:val="1"/>
    <w:qFormat/>
    <w:pPr>
      <w:jc w:val="left"/>
    </w:pPr>
    <w:rPr>
      <w:rFonts w:ascii="Calibri" w:hAnsi="Calibri" w:eastAsia="宋体" w:cs="Calibri"/>
      <w:sz w:val="22"/>
      <w:szCs w:val="22"/>
      <w:lang w:eastAsia="en-US"/>
    </w:rPr>
  </w:style>
  <w:style w:type="character" w:styleId="1055" w:customStyle="1">
    <w:name w:val="标题 1 字符"/>
    <w:basedOn w:val="794"/>
    <w:link w:val="785"/>
    <w:uiPriority w:val="9"/>
    <w:qFormat/>
    <w:rPr>
      <w:rFonts w:asciiTheme="minorHAnsi" w:hAnsiTheme="minorHAnsi" w:eastAsiaTheme="minorEastAsia" w:cstheme="minorBidi"/>
      <w:b/>
      <w:bCs/>
      <w:sz w:val="44"/>
      <w:szCs w:val="44"/>
    </w:rPr>
  </w:style>
  <w:style w:type="paragraph" w:styleId="1056" w:customStyle="1">
    <w:name w:val="TOC 标题2"/>
    <w:basedOn w:val="785"/>
    <w:next w:val="78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057" w:customStyle="1">
    <w:name w:val="网格型1"/>
    <w:basedOn w:val="1058"/>
    <w:uiPriority w:val="0"/>
    <w:qFormat/>
    <w:pPr>
      <w:jc w:val="both"/>
      <w:widowControl w:val="off"/>
    </w:pPr>
    <w:tblPr/>
  </w:style>
  <w:style w:type="table" w:styleId="1058" w:customStyle="1">
    <w:name w:val="普通表格1"/>
    <w:uiPriority w:val="99"/>
    <w:unhideWhenUsed/>
    <w:qFormat/>
    <w:tblPr>
      <w:tblCellMar>
        <w:left w:w="0" w:type="dxa"/>
        <w:top w:w="0" w:type="dxa"/>
        <w:right w:w="0" w:type="dxa"/>
        <w:bottom w:w="0" w:type="dxa"/>
      </w:tblCellMar>
    </w:tblPr>
  </w:style>
  <w:style w:type="character" w:styleId="1059" w:customStyle="1">
    <w:name w:val="font51"/>
    <w:basedOn w:val="794"/>
    <w:uiPriority w:val="0"/>
    <w:qFormat/>
    <w:rPr>
      <w:rFonts w:hint="eastAsia" w:ascii="宋体" w:hAnsi="宋体" w:eastAsia="宋体" w:cs="宋体"/>
      <w:color w:val="ff0000"/>
      <w:sz w:val="20"/>
      <w:szCs w:val="20"/>
      <w:u w:val="none"/>
    </w:rPr>
  </w:style>
  <w:style w:type="character" w:styleId="1060" w:customStyle="1">
    <w:name w:val="纯文本 字符"/>
    <w:basedOn w:val="794"/>
    <w:link w:val="809"/>
    <w:uiPriority w:val="0"/>
    <w:qFormat/>
    <w:rPr>
      <w:rFonts w:ascii="宋体" w:hAnsi="Courier New" w:cs="Courier New"/>
      <w:sz w:val="21"/>
      <w:szCs w:val="21"/>
    </w:rPr>
  </w:style>
  <w:style w:type="character" w:styleId="1061" w:customStyle="1">
    <w:name w:val="批注文字 字符"/>
    <w:basedOn w:val="794"/>
    <w:link w:val="800"/>
    <w:uiPriority w:val="0"/>
    <w:qFormat/>
    <w:rPr>
      <w:rFonts w:asciiTheme="minorHAnsi" w:hAnsiTheme="minorHAnsi" w:eastAsiaTheme="minorEastAsia" w:cstheme="minorBidi"/>
      <w:sz w:val="21"/>
      <w:szCs w:val="24"/>
    </w:rPr>
  </w:style>
  <w:style w:type="paragraph" w:styleId="1062" w:customStyle="1">
    <w:name w:val="正文文本缩进11"/>
    <w:basedOn w:val="784"/>
    <w:next w:val="784"/>
    <w:uiPriority w:val="0"/>
    <w:qFormat/>
    <w:pPr>
      <w:ind w:left="420"/>
      <w:spacing w:after="120"/>
    </w:pPr>
  </w:style>
  <w:style w:type="character" w:styleId="1063" w:customStyle="1">
    <w:name w:val="font21"/>
    <w:uiPriority w:val="0"/>
    <w:qFormat/>
    <w:rPr>
      <w:rFonts w:asciiTheme="minorHAnsi" w:hAnsiTheme="minorHAnsi" w:eastAsiaTheme="minorEastAsia" w:cstheme="minorBidi"/>
      <w:sz w:val="21"/>
      <w:szCs w:val="24"/>
      <w:lang w:val="en-US" w:eastAsia="zh-CN" w:bidi="ar-SA"/>
    </w:rPr>
  </w:style>
  <w:style w:type="paragraph" w:styleId="1064"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1065" w:customStyle="1">
    <w:name w:val="页眉12"/>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样式 FC正文 + 首行缩进:  2 字符 段前: 0.5 行 段后: 0.5 行"/>
    <w:basedOn w:val="1067"/>
    <w:uiPriority w:val="0"/>
    <w:qFormat/>
    <w:pPr>
      <w:ind w:firstLine="480"/>
      <w:spacing w:before="120" w:after="120"/>
    </w:pPr>
    <w:rPr>
      <w:rFonts w:cs="宋体"/>
      <w:szCs w:val="20"/>
    </w:rPr>
  </w:style>
  <w:style w:type="paragraph" w:styleId="1067" w:customStyle="1">
    <w:name w:val="FC正文"/>
    <w:basedOn w:val="784"/>
    <w:uiPriority w:val="0"/>
    <w:qFormat/>
    <w:pPr>
      <w:contextualSpacing/>
      <w:ind w:firstLine="200"/>
      <w:spacing w:line="360" w:lineRule="auto"/>
    </w:pPr>
    <w:rPr>
      <w:rFonts w:asciiTheme="minorEastAsia" w:hAnsiTheme="minorEastAsia" w:cstheme="minorEastAsia"/>
      <w:sz w:val="24"/>
    </w:rPr>
  </w:style>
  <w:style w:type="character" w:styleId="1068" w:customStyle="1">
    <w:name w:val="文档结构图 字符"/>
    <w:basedOn w:val="794"/>
    <w:link w:val="799"/>
    <w:uiPriority w:val="99"/>
    <w:semiHidden/>
    <w:qFormat/>
    <w:rPr>
      <w:rFonts w:ascii="宋体" w:hAnsiTheme="minorHAnsi" w:cstheme="minorBidi"/>
      <w:sz w:val="18"/>
      <w:szCs w:val="18"/>
    </w:rPr>
  </w:style>
  <w:style w:type="paragraph" w:styleId="1069" w:customStyle="1">
    <w:name w:val="_正文段落"/>
    <w:basedOn w:val="784"/>
    <w:uiPriority w:val="0"/>
    <w:qFormat/>
    <w:pPr>
      <w:spacing w:before="156" w:after="156"/>
    </w:pPr>
    <w:rPr>
      <w:rFonts w:cs="Times New Roman"/>
      <w:szCs w:val="24"/>
      <w:lang w:val="zh-CN"/>
    </w:rPr>
  </w:style>
  <w:style w:type="paragraph" w:styleId="1070" w:customStyle="1">
    <w:name w:val="列出段落3"/>
    <w:basedOn w:val="784"/>
    <w:uiPriority w:val="0"/>
    <w:qFormat/>
    <w:pPr>
      <w:ind w:firstLine="420"/>
    </w:pPr>
    <w:rPr>
      <w:szCs w:val="20"/>
    </w:rPr>
  </w:style>
  <w:style w:type="paragraph" w:styleId="1071" w:customStyle="1">
    <w:name w:val="No Spacing_0"/>
    <w:uiPriority w:val="1"/>
    <w:qFormat/>
    <w:pPr>
      <w:widowControl w:val="off"/>
    </w:pPr>
    <w:rPr>
      <w:rFonts w:hint="default" w:ascii="Times New Roman" w:hAnsi="Times New Roman" w:eastAsia="宋体" w:cs="Times New Roman"/>
      <w:sz w:val="21"/>
      <w:szCs w:val="24"/>
      <w:lang w:val="en-US" w:eastAsia="zh-CN" w:bidi="ar-SA"/>
    </w:rPr>
  </w:style>
  <w:style w:type="character" w:styleId="1072" w:customStyle="1">
    <w:name w:val="hover3"/>
    <w:basedOn w:val="794"/>
    <w:uiPriority w:val="0"/>
    <w:qFormat/>
    <w:rPr>
      <w:color w:val="427fda"/>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9</cp:revision>
  <dcterms:created xsi:type="dcterms:W3CDTF">2025-09-08T03:06:00Z</dcterms:created>
  <dcterms:modified xsi:type="dcterms:W3CDTF">2025-12-18T01:25:41Z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3F1A2CA2FEA54D5B86EE166E38CD8E87_13</vt:lpwstr>
  </property>
  <property fmtid="{D5CDD505-2E9C-101B-9397-08002B2CF9AE}" pid="4" name="KSOTemplateDocerSaveRecord">
    <vt:lpwstr>eyJoZGlkIjoiODZkZDhiMGRhNjI0MjMyZGNiZjBmZTUwZmY4Yjk1MjEiLCJ1c2VySWQiOiIxNjcxNDc2OTEwIn0=</vt:lpwstr>
  </property>
</Properties>
</file>